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pStyle w:val="ToolkitKicker"/>
              <w:keepNext/>
              <w:spacing w:before="0" w:after="20"/>
              <w:jc w:val="center"/>
            </w:pPr>
            <w:r>
              <w:t>BUSINESS RESILIENCE STARTER KIT</w:t>
            </w:r>
          </w:p>
          <w:p>
            <w:pPr>
              <w:pStyle w:val="ToolkitTitle"/>
              <w:keepNext/>
              <w:spacing w:before="0" w:after="40"/>
              <w:jc w:val="center"/>
            </w:pPr>
            <w:r>
              <w:t>Supplier &amp; Critical Resource Continuity Register</w:t>
            </w:r>
          </w:p>
          <w:p>
            <w:pPr>
              <w:pStyle w:val="ToolkitSub"/>
              <w:keepNext/>
              <w:spacing w:before="0" w:after="0"/>
              <w:jc w:val="center"/>
            </w:pPr>
            <w:r>
              <w:t>Disaster Risk Management Authority | The Bahamas</w:t>
            </w:r>
          </w:p>
          <w:p>
            <w:pPr>
              <w:pStyle w:val="Tiny"/>
              <w:keepNext/>
              <w:spacing w:before="0" w:after="0"/>
              <w:jc w:val="center"/>
            </w:pPr>
            <w: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p>
      <w:pPr>
        <w:spacing w:after="20" w:before="0"/>
      </w:pPr>
      <w:r/>
    </w:p>
    <w:tbl>
      <w:tblPr>
        <w:tblW w:type="auto" w:w="0"/>
        <w:jc w:val="center"/>
        <w:tblLayout w:type="fixed"/>
        <w:tblLook w:firstColumn="1" w:firstRow="1" w:lastColumn="0" w:lastRow="0" w:noHBand="0" w:noVBand="1" w:val="04A0"/>
      </w:tblPr>
      <w:tblGrid>
        <w:gridCol w:w="14400"/>
      </w:tblGrid>
      <w:tr>
        <w:tc>
          <w:tcPr>
            <w:tcW w:type="dxa" w:w="14400"/>
            <w:shd w:fill="EAF1F4" w:val="clear"/>
            <w:tcBorders>
              <w:top w:val="nil"/>
              <w:left w:val="nil"/>
              <w:bottom w:val="nil"/>
              <w:right w:val="nil"/>
            </w:tcBorders>
            <w:tcMar>
              <w:top w:w="90" w:type="dxa"/>
              <w:start w:w="100" w:type="dxa"/>
              <w:bottom w:w="90" w:type="dxa"/>
              <w:end w:w="100" w:type="dxa"/>
            </w:tcMar>
          </w:tcPr>
          <w:p>
            <w:pPr>
              <w:spacing w:before="0" w:after="0" w:line="240" w:lineRule="auto"/>
            </w:pPr>
            <w:r/>
            <w:r>
              <w:rPr>
                <w:rFonts w:ascii="Aptos" w:hAnsi="Aptos" w:eastAsia="Aptos"/>
                <w:b/>
                <w:color w:val="183B56"/>
                <w:sz w:val="21"/>
              </w:rPr>
              <w:t>What this tool helps you do</w:t>
            </w:r>
          </w:p>
          <w:p>
            <w:pPr>
              <w:spacing w:before="0" w:after="0" w:line="240" w:lineRule="auto"/>
            </w:pPr>
            <w:r>
              <w:rPr>
                <w:rFonts w:ascii="Aptos" w:hAnsi="Aptos" w:eastAsia="Aptos"/>
                <w:b w:val="0"/>
                <w:color w:val="263746"/>
                <w:sz w:val="18"/>
              </w:rPr>
              <w:t>Maintain the operational details needed to protect critical supplies, services and resources; confirm whether alternatives are genuinely available and independent; set switching triggers; and keep supplier, logistics, stock and emergency purchasing arrangements ready for use.</w:t>
            </w:r>
          </w:p>
        </w:tc>
      </w:tr>
    </w:tbl>
    <w:p>
      <w:pPr>
        <w:spacing w:after="60" w:before="0"/>
      </w:pPr>
      <w:r/>
    </w:p>
    <w:tbl>
      <w:tblPr>
        <w:tblW w:type="auto" w:w="0"/>
        <w:jc w:val="center"/>
        <w:tblLayout w:type="fixed"/>
        <w:tblLook w:firstColumn="1" w:firstRow="1" w:lastColumn="0" w:lastRow="0" w:noHBand="0" w:noVBand="1" w:val="04A0"/>
      </w:tblPr>
      <w:tblGrid>
        <w:gridCol w:w="7200"/>
        <w:gridCol w:w="7200"/>
      </w:tblGrid>
      <w:tr>
        <w:tc>
          <w:tcPr>
            <w:tcW w:type="dxa" w:w="7200"/>
            <w:shd w:fill="F6F8F9" w:val="clear"/>
            <w:tcBorders>
              <w:top w:val="nil"/>
              <w:left w:val="nil"/>
              <w:bottom w:val="nil"/>
              <w:right w:val="nil"/>
            </w:tcBorders>
            <w:tcMar>
              <w:top w:w="70" w:type="dxa"/>
              <w:start w:w="80" w:type="dxa"/>
              <w:bottom w:w="70" w:type="dxa"/>
              <w:end w:w="80" w:type="dxa"/>
            </w:tcMar>
            <w:vAlign w:val="center"/>
          </w:tcPr>
          <w:p>
            <w:pPr>
              <w:spacing w:before="0" w:after="20" w:line="240" w:lineRule="auto"/>
            </w:pPr>
            <w:r/>
            <w:r>
              <w:rPr>
                <w:rFonts w:ascii="Aptos" w:hAnsi="Aptos" w:eastAsia="Aptos"/>
                <w:b/>
                <w:color w:val="2B6F73"/>
                <w:sz w:val="18"/>
              </w:rPr>
              <w:t>Use this tool when...</w:t>
            </w:r>
          </w:p>
          <w:p>
            <w:pPr>
              <w:spacing w:before="0" w:after="0" w:line="240" w:lineRule="auto"/>
            </w:pPr>
            <w:r>
              <w:rPr>
                <w:rFonts w:ascii="Aptos" w:hAnsi="Aptos" w:eastAsia="Aptos"/>
                <w:b w:val="0"/>
                <w:color w:val="263746"/>
                <w:sz w:val="17"/>
              </w:rPr>
              <w:t>- critical functions depend on goods, services or resources supplied from outside the business;</w:t>
              <w:br/>
              <w:t>- one supplier, route, utility, piece of equipment or source has no confirmed alternative;</w:t>
              <w:br/>
              <w:t>- port, airport, shipping, fuel, payment or communications disruption could interrupt operations; or</w:t>
              <w:br/>
              <w:t>- supplier and resource information is informal, outdated or held by one person.</w:t>
            </w:r>
          </w:p>
        </w:tc>
        <w:tc>
          <w:tcPr>
            <w:tcW w:type="dxa" w:w="7200"/>
            <w:shd w:fill="F6F8F9" w:val="clear"/>
            <w:tcBorders>
              <w:top w:val="nil"/>
              <w:left w:val="nil"/>
              <w:bottom w:val="nil"/>
              <w:right w:val="nil"/>
            </w:tcBorders>
            <w:tcMar>
              <w:top w:w="70" w:type="dxa"/>
              <w:start w:w="80" w:type="dxa"/>
              <w:bottom w:w="70" w:type="dxa"/>
              <w:end w:w="80" w:type="dxa"/>
            </w:tcMar>
            <w:vAlign w:val="center"/>
          </w:tcPr>
          <w:p>
            <w:pPr>
              <w:spacing w:before="0" w:after="20" w:line="240" w:lineRule="auto"/>
            </w:pPr>
            <w:r/>
            <w:r>
              <w:rPr>
                <w:rFonts w:ascii="Aptos" w:hAnsi="Aptos" w:eastAsia="Aptos"/>
                <w:b/>
                <w:color w:val="2B6F73"/>
                <w:sz w:val="18"/>
              </w:rPr>
              <w:t>How to use the tool</w:t>
            </w:r>
          </w:p>
          <w:p>
            <w:pPr>
              <w:spacing w:before="0" w:after="0" w:line="240" w:lineRule="auto"/>
            </w:pPr>
            <w:r>
              <w:rPr>
                <w:rFonts w:ascii="Aptos" w:hAnsi="Aptos" w:eastAsia="Aptos"/>
                <w:b w:val="0"/>
                <w:color w:val="263746"/>
                <w:sz w:val="17"/>
              </w:rPr>
              <w:t>1. Identify the supplies, services and resources that support critical functions.</w:t>
              <w:br/>
              <w:t>2. Record the primary source, lead time and how long the business could operate without each item.</w:t>
              <w:br/>
              <w:t>3. Identify and confirm practical alternatives.</w:t>
              <w:br/>
              <w:t>4. Test whether the alternative shares the same vulnerability.</w:t>
              <w:br/>
              <w:t>5. Set stock levels, switching triggers, authority and emergency purchasing arrangements.</w:t>
              <w:br/>
              <w:t>6. Confirm, test and review the arrangements regularly.</w:t>
            </w:r>
          </w:p>
        </w:tc>
      </w:tr>
    </w:tbl>
    <w:p>
      <w:pPr>
        <w:spacing w:after="80" w:before="0"/>
      </w:pPr>
      <w:r/>
    </w:p>
    <w:p>
      <w:pPr>
        <w:pStyle w:val="SectionHead"/>
        <w:keepNext/>
      </w:pPr>
      <w:r>
        <w:t>Key concepts</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600"/>
            <w:tcBorders>
              <w:top w:val="single" w:sz="4" w:space="0" w:color="D6E1E6"/>
              <w:left w:val="single" w:sz="4" w:space="0" w:color="D6E1E6"/>
              <w:bottom w:val="single" w:sz="4" w:space="0" w:color="D6E1E6"/>
              <w:right w:val="single" w:sz="4" w:space="0" w:color="D6E1E6"/>
            </w:tcBorders>
            <w:tcMar>
              <w:top w:w="70" w:type="dxa"/>
              <w:start w:w="80" w:type="dxa"/>
              <w:bottom w:w="70" w:type="dxa"/>
              <w:end w:w="80" w:type="dxa"/>
            </w:tcMar>
            <w:vAlign w:val="center"/>
            <w:shd w:fill="EAF1F4" w:val="clear"/>
          </w:tcPr>
          <w:p>
            <w:pPr>
              <w:spacing w:before="0" w:after="20" w:line="240" w:lineRule="auto"/>
            </w:pPr>
            <w:r/>
            <w:r>
              <w:rPr>
                <w:rFonts w:ascii="Aptos" w:hAnsi="Aptos" w:eastAsia="Aptos"/>
                <w:b/>
                <w:color w:val="2B6F73"/>
                <w:sz w:val="17"/>
              </w:rPr>
              <w:t>Critical supply / service</w:t>
            </w:r>
          </w:p>
          <w:p>
            <w:pPr>
              <w:spacing w:before="0" w:after="0" w:line="240" w:lineRule="auto"/>
            </w:pPr>
            <w:r>
              <w:rPr>
                <w:rFonts w:ascii="Aptos" w:hAnsi="Aptos" w:eastAsia="Aptos"/>
                <w:b w:val="0"/>
                <w:color w:val="263746"/>
                <w:sz w:val="16"/>
              </w:rPr>
              <w:t>A product or service whose loss could stop or seriously disrupt a critical function.</w:t>
            </w:r>
          </w:p>
        </w:tc>
        <w:tc>
          <w:tcPr>
            <w:tcW w:type="dxa" w:w="3600"/>
            <w:tcBorders>
              <w:top w:val="single" w:sz="4" w:space="0" w:color="D6E1E6"/>
              <w:left w:val="single" w:sz="4" w:space="0" w:color="D6E1E6"/>
              <w:bottom w:val="single" w:sz="4" w:space="0" w:color="D6E1E6"/>
              <w:right w:val="single" w:sz="4" w:space="0" w:color="D6E1E6"/>
            </w:tcBorders>
            <w:tcMar>
              <w:top w:w="70" w:type="dxa"/>
              <w:start w:w="80" w:type="dxa"/>
              <w:bottom w:w="70" w:type="dxa"/>
              <w:end w:w="80" w:type="dxa"/>
            </w:tcMar>
            <w:vAlign w:val="center"/>
            <w:shd w:fill="EAF1F4" w:val="clear"/>
          </w:tcPr>
          <w:p>
            <w:pPr>
              <w:spacing w:before="0" w:after="20" w:line="240" w:lineRule="auto"/>
            </w:pPr>
            <w:r/>
            <w:r>
              <w:rPr>
                <w:rFonts w:ascii="Aptos" w:hAnsi="Aptos" w:eastAsia="Aptos"/>
                <w:b/>
                <w:color w:val="2B6F73"/>
                <w:sz w:val="17"/>
              </w:rPr>
              <w:t>Critical resource</w:t>
            </w:r>
          </w:p>
          <w:p>
            <w:pPr>
              <w:spacing w:before="0" w:after="0" w:line="240" w:lineRule="auto"/>
            </w:pPr>
            <w:r>
              <w:rPr>
                <w:rFonts w:ascii="Aptos" w:hAnsi="Aptos" w:eastAsia="Aptos"/>
                <w:b w:val="0"/>
                <w:color w:val="263746"/>
                <w:sz w:val="16"/>
              </w:rPr>
              <w:t>A material, utility, asset, facility, transport link or other resource needed to keep a critical activity operating.</w:t>
            </w:r>
          </w:p>
        </w:tc>
        <w:tc>
          <w:tcPr>
            <w:tcW w:type="dxa" w:w="3600"/>
            <w:tcBorders>
              <w:top w:val="single" w:sz="4" w:space="0" w:color="D6E1E6"/>
              <w:left w:val="single" w:sz="4" w:space="0" w:color="D6E1E6"/>
              <w:bottom w:val="single" w:sz="4" w:space="0" w:color="D6E1E6"/>
              <w:right w:val="single" w:sz="4" w:space="0" w:color="D6E1E6"/>
            </w:tcBorders>
            <w:tcMar>
              <w:top w:w="70" w:type="dxa"/>
              <w:start w:w="80" w:type="dxa"/>
              <w:bottom w:w="70" w:type="dxa"/>
              <w:end w:w="80" w:type="dxa"/>
            </w:tcMar>
            <w:vAlign w:val="center"/>
            <w:shd w:fill="F3E7C4" w:val="clear"/>
          </w:tcPr>
          <w:p>
            <w:pPr>
              <w:spacing w:before="0" w:after="20" w:line="240" w:lineRule="auto"/>
            </w:pPr>
            <w:r/>
            <w:r>
              <w:rPr>
                <w:rFonts w:ascii="Aptos" w:hAnsi="Aptos" w:eastAsia="Aptos"/>
                <w:b/>
                <w:color w:val="2B6F73"/>
                <w:sz w:val="17"/>
              </w:rPr>
              <w:t>Independent alternative</w:t>
            </w:r>
          </w:p>
          <w:p>
            <w:pPr>
              <w:spacing w:before="0" w:after="0" w:line="240" w:lineRule="auto"/>
            </w:pPr>
            <w:r>
              <w:rPr>
                <w:rFonts w:ascii="Aptos" w:hAnsi="Aptos" w:eastAsia="Aptos"/>
                <w:b w:val="0"/>
                <w:color w:val="263746"/>
                <w:sz w:val="16"/>
              </w:rPr>
              <w:t>A backup source that is not likely to fail for the same underlying reason as the primary source.</w:t>
            </w:r>
          </w:p>
        </w:tc>
        <w:tc>
          <w:tcPr>
            <w:tcW w:type="dxa" w:w="3600"/>
            <w:tcBorders>
              <w:top w:val="single" w:sz="4" w:space="0" w:color="D6E1E6"/>
              <w:left w:val="single" w:sz="4" w:space="0" w:color="D6E1E6"/>
              <w:bottom w:val="single" w:sz="4" w:space="0" w:color="D6E1E6"/>
              <w:right w:val="single" w:sz="4" w:space="0" w:color="D6E1E6"/>
            </w:tcBorders>
            <w:tcMar>
              <w:top w:w="70" w:type="dxa"/>
              <w:start w:w="80" w:type="dxa"/>
              <w:bottom w:w="70" w:type="dxa"/>
              <w:end w:w="80" w:type="dxa"/>
            </w:tcMar>
            <w:vAlign w:val="center"/>
            <w:shd w:fill="EAF1F4" w:val="clear"/>
          </w:tcPr>
          <w:p>
            <w:pPr>
              <w:spacing w:before="0" w:after="20" w:line="240" w:lineRule="auto"/>
            </w:pPr>
            <w:r/>
            <w:r>
              <w:rPr>
                <w:rFonts w:ascii="Aptos" w:hAnsi="Aptos" w:eastAsia="Aptos"/>
                <w:b/>
                <w:color w:val="2B6F73"/>
                <w:sz w:val="17"/>
              </w:rPr>
              <w:t>Switch trigger</w:t>
            </w:r>
          </w:p>
          <w:p>
            <w:pPr>
              <w:spacing w:before="0" w:after="0" w:line="240" w:lineRule="auto"/>
            </w:pPr>
            <w:r>
              <w:rPr>
                <w:rFonts w:ascii="Aptos" w:hAnsi="Aptos" w:eastAsia="Aptos"/>
                <w:b w:val="0"/>
                <w:color w:val="263746"/>
                <w:sz w:val="16"/>
              </w:rPr>
              <w:t>The condition or threshold that signals when the business should activate an alternative arrangement.</w:t>
            </w:r>
          </w:p>
        </w:tc>
      </w:tr>
    </w:tbl>
    <w:p>
      <w:pPr>
        <w:spacing w:after="80" w:before="0"/>
      </w:pPr>
      <w:r/>
    </w:p>
    <w:p>
      <w:pPr>
        <w:pStyle w:val="SectionHead"/>
        <w:keepNext/>
      </w:pPr>
      <w:r>
        <w:t>Continuity areas to consider</w:t>
      </w:r>
    </w:p>
    <w:tbl>
      <w:tblPr>
        <w:tblW w:type="auto" w:w="0"/>
        <w:jc w:val="center"/>
        <w:tblLayout w:type="fixed"/>
        <w:tblLook w:firstColumn="1" w:firstRow="1" w:lastColumn="0" w:lastRow="0" w:noHBand="0" w:noVBand="1" w:val="04A0"/>
      </w:tblPr>
      <w:tblGrid>
        <w:gridCol w:w="4800"/>
        <w:gridCol w:w="4800"/>
        <w:gridCol w:w="4800"/>
      </w:tblGrid>
      <w:tr>
        <w:trPr>
          <w:cantSplit/>
        </w:trPr>
        <w:tc>
          <w:tcPr>
            <w:tcW w:type="dxa" w:w="4800"/>
            <w:tcBorders>
              <w:top w:val="single" w:sz="4" w:space="0" w:color="E0E8EC"/>
              <w:left w:val="single" w:sz="4" w:space="0" w:color="E0E8EC"/>
              <w:bottom w:val="single" w:sz="4" w:space="0" w:color="E0E8EC"/>
              <w:right w:val="single" w:sz="4" w:space="0" w:color="E0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Suppliers</w:t>
            </w:r>
          </w:p>
          <w:p>
            <w:pPr>
              <w:spacing w:before="0" w:after="0" w:line="240" w:lineRule="auto"/>
            </w:pPr>
            <w:r>
              <w:rPr>
                <w:rFonts w:ascii="Aptos" w:hAnsi="Aptos" w:eastAsia="Aptos"/>
                <w:b w:val="0"/>
                <w:color w:val="263746"/>
                <w:sz w:val="16"/>
              </w:rPr>
              <w:t>Critical goods, services, specialist providers and alternatives</w:t>
            </w:r>
          </w:p>
        </w:tc>
        <w:tc>
          <w:tcPr>
            <w:tcW w:type="dxa" w:w="4800"/>
            <w:tcBorders>
              <w:top w:val="single" w:sz="4" w:space="0" w:color="E0E8EC"/>
              <w:left w:val="single" w:sz="4" w:space="0" w:color="E0E8EC"/>
              <w:bottom w:val="single" w:sz="4" w:space="0" w:color="E0E8EC"/>
              <w:right w:val="single" w:sz="4" w:space="0" w:color="E0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Transport / Shipping</w:t>
            </w:r>
          </w:p>
          <w:p>
            <w:pPr>
              <w:spacing w:before="0" w:after="0" w:line="240" w:lineRule="auto"/>
            </w:pPr>
            <w:r>
              <w:rPr>
                <w:rFonts w:ascii="Aptos" w:hAnsi="Aptos" w:eastAsia="Aptos"/>
                <w:b w:val="0"/>
                <w:color w:val="263746"/>
                <w:sz w:val="16"/>
              </w:rPr>
              <w:t>Ports, airports, freight, inter-island movement and delivery routes</w:t>
            </w:r>
          </w:p>
        </w:tc>
        <w:tc>
          <w:tcPr>
            <w:tcW w:type="dxa" w:w="4801"/>
            <w:tcBorders>
              <w:top w:val="single" w:sz="4" w:space="0" w:color="E0E8EC"/>
              <w:left w:val="single" w:sz="4" w:space="0" w:color="E0E8EC"/>
              <w:bottom w:val="single" w:sz="4" w:space="0" w:color="E0E8EC"/>
              <w:right w:val="single" w:sz="4" w:space="0" w:color="E0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Stock / Inventory</w:t>
            </w:r>
          </w:p>
          <w:p>
            <w:pPr>
              <w:spacing w:before="0" w:after="0" w:line="240" w:lineRule="auto"/>
            </w:pPr>
            <w:r>
              <w:rPr>
                <w:rFonts w:ascii="Aptos" w:hAnsi="Aptos" w:eastAsia="Aptos"/>
                <w:b w:val="0"/>
                <w:color w:val="263746"/>
                <w:sz w:val="16"/>
              </w:rPr>
              <w:t>Minimum quantities, reorder points, substitutes and storage</w:t>
            </w:r>
          </w:p>
        </w:tc>
      </w:tr>
      <w:tr>
        <w:trPr>
          <w:cantSplit/>
        </w:trPr>
        <w:tc>
          <w:tcPr>
            <w:tcW w:type="dxa" w:w="4800"/>
            <w:tcBorders>
              <w:top w:val="single" w:sz="4" w:space="0" w:color="E0E8EC"/>
              <w:left w:val="single" w:sz="4" w:space="0" w:color="E0E8EC"/>
              <w:bottom w:val="single" w:sz="4" w:space="0" w:color="E0E8EC"/>
              <w:right w:val="single" w:sz="4" w:space="0" w:color="E0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Utilities / Fuel</w:t>
            </w:r>
          </w:p>
          <w:p>
            <w:pPr>
              <w:spacing w:before="0" w:after="0" w:line="240" w:lineRule="auto"/>
            </w:pPr>
            <w:r>
              <w:rPr>
                <w:rFonts w:ascii="Aptos" w:hAnsi="Aptos" w:eastAsia="Aptos"/>
                <w:b w:val="0"/>
                <w:color w:val="263746"/>
                <w:sz w:val="16"/>
              </w:rPr>
              <w:t>Electricity, water, Internet, mobile service, payment systems and fuel</w:t>
            </w:r>
          </w:p>
        </w:tc>
        <w:tc>
          <w:tcPr>
            <w:tcW w:type="dxa" w:w="4800"/>
            <w:tcBorders>
              <w:top w:val="single" w:sz="4" w:space="0" w:color="E0E8EC"/>
              <w:left w:val="single" w:sz="4" w:space="0" w:color="E0E8EC"/>
              <w:bottom w:val="single" w:sz="4" w:space="0" w:color="E0E8EC"/>
              <w:right w:val="single" w:sz="4" w:space="0" w:color="E0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Equipment / Assets</w:t>
            </w:r>
          </w:p>
          <w:p>
            <w:pPr>
              <w:spacing w:before="0" w:after="0" w:line="240" w:lineRule="auto"/>
            </w:pPr>
            <w:r>
              <w:rPr>
                <w:rFonts w:ascii="Aptos" w:hAnsi="Aptos" w:eastAsia="Aptos"/>
                <w:b w:val="0"/>
                <w:color w:val="263746"/>
                <w:sz w:val="16"/>
              </w:rPr>
              <w:t>Critical machinery, tools, vehicles, parts and replacement access</w:t>
            </w:r>
          </w:p>
        </w:tc>
        <w:tc>
          <w:tcPr>
            <w:tcW w:type="dxa" w:w="4801"/>
            <w:tcBorders>
              <w:top w:val="single" w:sz="4" w:space="0" w:color="E0E8EC"/>
              <w:left w:val="single" w:sz="4" w:space="0" w:color="E0E8EC"/>
              <w:bottom w:val="single" w:sz="4" w:space="0" w:color="E0E8EC"/>
              <w:right w:val="single" w:sz="4" w:space="0" w:color="E0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Finance / Payment</w:t>
            </w:r>
          </w:p>
          <w:p>
            <w:pPr>
              <w:spacing w:before="0" w:after="0" w:line="240" w:lineRule="auto"/>
            </w:pPr>
            <w:r>
              <w:rPr>
                <w:rFonts w:ascii="Aptos" w:hAnsi="Aptos" w:eastAsia="Aptos"/>
                <w:b w:val="0"/>
                <w:color w:val="263746"/>
                <w:sz w:val="16"/>
              </w:rPr>
              <w:t>Emergency purchases, supplier payments, banking access and credit</w:t>
            </w:r>
          </w:p>
        </w:tc>
      </w:tr>
    </w:tbl>
    <w:p>
      <w:r>
        <w:br w:type="page"/>
      </w:r>
    </w:p>
    <w:p>
      <w:pPr>
        <w:pStyle w:val="SectionHead"/>
        <w:keepNext/>
      </w:pPr>
      <w:r>
        <w:t>1. Critical Supplier &amp; Resource Register</w:t>
      </w:r>
    </w:p>
    <w:p>
      <w:pPr>
        <w:spacing w:after="100"/>
      </w:pPr>
      <w:r>
        <w:t>Identify the products, services and resources that support your critical functions. Record how long the business could operate without each one and who is responsible for keeping the information current.</w:t>
      </w:r>
    </w:p>
    <w:tbl>
      <w:tblPr>
        <w:tblW w:type="auto" w:w="0"/>
        <w:jc w:val="center"/>
        <w:tblLayout w:type="fixed"/>
        <w:tblLook w:firstColumn="1" w:firstRow="1" w:lastColumn="0" w:lastRow="0" w:noHBand="0" w:noVBand="1" w:val="04A0"/>
      </w:tblPr>
      <w:tblGrid>
        <w:gridCol w:w="1800"/>
        <w:gridCol w:w="1800"/>
        <w:gridCol w:w="1800"/>
        <w:gridCol w:w="1800"/>
        <w:gridCol w:w="1800"/>
        <w:gridCol w:w="1800"/>
        <w:gridCol w:w="1800"/>
        <w:gridCol w:w="1800"/>
      </w:tblGrid>
      <w:tr>
        <w:trPr>
          <w:cantSplit/>
          <w:tblHeader w:val="true"/>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Ref.</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Critical Function Supported</w:t>
            </w: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Critical Supply / Service / Resource</w:t>
            </w: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Primary Supplier / Source</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Location / Origin</w:t>
            </w: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Normal Lead Time</w:t>
            </w: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How Long Could We Operate Without It?</w:t>
            </w: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Internal Owner</w:t>
            </w: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1</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2</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3</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4</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5</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6</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3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p>
      <w:pPr>
        <w:pStyle w:val="SmallHead"/>
        <w:keepNext/>
      </w:pPr>
      <w:r>
        <w:t>Questions to ask</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600"/>
            <w:tcBorders>
              <w:top w:val="single" w:sz="4" w:space="0" w:color="E5EAED"/>
              <w:left w:val="single" w:sz="4" w:space="0" w:color="E5EAED"/>
              <w:bottom w:val="single" w:sz="4" w:space="0" w:color="E5EAED"/>
              <w:right w:val="single" w:sz="4" w:space="0" w:color="E5EAED"/>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Criticality</w:t>
            </w:r>
          </w:p>
          <w:p>
            <w:pPr>
              <w:spacing w:before="0" w:after="0" w:line="240" w:lineRule="auto"/>
            </w:pPr>
            <w:r>
              <w:rPr>
                <w:rFonts w:ascii="Aptos" w:hAnsi="Aptos" w:eastAsia="Aptos"/>
                <w:b w:val="0"/>
                <w:color w:val="263746"/>
                <w:sz w:val="16"/>
              </w:rPr>
              <w:t>Would loss of this item stop a critical function or prevent recovery within its Target Recovery Time?</w:t>
            </w:r>
          </w:p>
        </w:tc>
        <w:tc>
          <w:tcPr>
            <w:tcW w:type="dxa" w:w="3600"/>
            <w:tcBorders>
              <w:top w:val="single" w:sz="4" w:space="0" w:color="E5EAED"/>
              <w:left w:val="single" w:sz="4" w:space="0" w:color="E5EAED"/>
              <w:bottom w:val="single" w:sz="4" w:space="0" w:color="E5EAED"/>
              <w:right w:val="single" w:sz="4" w:space="0" w:color="E5EAED"/>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Tolerance</w:t>
            </w:r>
          </w:p>
          <w:p>
            <w:pPr>
              <w:spacing w:before="0" w:after="0" w:line="240" w:lineRule="auto"/>
            </w:pPr>
            <w:r>
              <w:rPr>
                <w:rFonts w:ascii="Aptos" w:hAnsi="Aptos" w:eastAsia="Aptos"/>
                <w:b w:val="0"/>
                <w:color w:val="263746"/>
                <w:sz w:val="16"/>
              </w:rPr>
              <w:t>How long could the business operate using current stock, capacity or workarounds?</w:t>
            </w:r>
          </w:p>
        </w:tc>
        <w:tc>
          <w:tcPr>
            <w:tcW w:type="dxa" w:w="3600"/>
            <w:tcBorders>
              <w:top w:val="single" w:sz="4" w:space="0" w:color="E5EAED"/>
              <w:left w:val="single" w:sz="4" w:space="0" w:color="E5EAED"/>
              <w:bottom w:val="single" w:sz="4" w:space="0" w:color="E5EAED"/>
              <w:right w:val="single" w:sz="4" w:space="0" w:color="E5EAED"/>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Access</w:t>
            </w:r>
          </w:p>
          <w:p>
            <w:pPr>
              <w:spacing w:before="0" w:after="0" w:line="240" w:lineRule="auto"/>
            </w:pPr>
            <w:r>
              <w:rPr>
                <w:rFonts w:ascii="Aptos" w:hAnsi="Aptos" w:eastAsia="Aptos"/>
                <w:b w:val="0"/>
                <w:color w:val="263746"/>
                <w:sz w:val="16"/>
              </w:rPr>
              <w:t>Who holds the relationship, account information, ordering process or authority needed to obtain it?</w:t>
            </w:r>
          </w:p>
        </w:tc>
        <w:tc>
          <w:tcPr>
            <w:tcW w:type="dxa" w:w="3600"/>
            <w:tcBorders>
              <w:top w:val="single" w:sz="4" w:space="0" w:color="E5EAED"/>
              <w:left w:val="single" w:sz="4" w:space="0" w:color="E5EAED"/>
              <w:bottom w:val="single" w:sz="4" w:space="0" w:color="E5EAED"/>
              <w:right w:val="single" w:sz="4" w:space="0" w:color="E5EAED"/>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Review</w:t>
            </w:r>
          </w:p>
          <w:p>
            <w:pPr>
              <w:spacing w:before="0" w:after="0" w:line="240" w:lineRule="auto"/>
            </w:pPr>
            <w:r>
              <w:rPr>
                <w:rFonts w:ascii="Aptos" w:hAnsi="Aptos" w:eastAsia="Aptos"/>
                <w:b w:val="0"/>
                <w:color w:val="263746"/>
                <w:sz w:val="16"/>
              </w:rPr>
              <w:t>When was the information last confirmed, and what change would make it outdated?</w:t>
            </w:r>
          </w:p>
        </w:tc>
      </w:tr>
    </w:tbl>
    <w:p>
      <w:r>
        <w:br w:type="page"/>
      </w:r>
    </w:p>
    <w:p>
      <w:pPr>
        <w:pStyle w:val="SectionHead"/>
        <w:keepNext/>
      </w:pPr>
      <w:r>
        <w:t>2. Alternative Supplier &amp; Source Register</w:t>
      </w:r>
    </w:p>
    <w:p>
      <w:pPr>
        <w:spacing w:after="100"/>
      </w:pPr>
      <w:r>
        <w:t>An alternative is only useful if it can provide the required product, service or resource within the time the business needs it. Confirm capacity, lead time, access, terms and any advance arrangement required.</w:t>
      </w:r>
    </w:p>
    <w:tbl>
      <w:tblPr>
        <w:tblW w:type="auto" w:w="0"/>
        <w:jc w:val="center"/>
        <w:tblLayout w:type="fixed"/>
        <w:tblLook w:firstColumn="1" w:firstRow="1" w:lastColumn="0" w:lastRow="0" w:noHBand="0" w:noVBand="1" w:val="04A0"/>
      </w:tblPr>
      <w:tblGrid>
        <w:gridCol w:w="1600"/>
        <w:gridCol w:w="1600"/>
        <w:gridCol w:w="1600"/>
        <w:gridCol w:w="1600"/>
        <w:gridCol w:w="1600"/>
        <w:gridCol w:w="1600"/>
        <w:gridCol w:w="1600"/>
        <w:gridCol w:w="1600"/>
        <w:gridCol w:w="1600"/>
      </w:tblGrid>
      <w:tr>
        <w:trPr>
          <w:cantSplit/>
          <w:tblHeader w:val="true"/>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Ref.</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Alternative Supplier / Source</w:t>
            </w: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Primary Contact / After-Hours Contact</w:t>
            </w: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Location / Origin</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Product / Capacity Confirmed?</w:t>
            </w: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Emergency Lead Time</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Terms / Pre-Arrangement Required</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Last Confirmed / Tested</w:t>
            </w: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Owner</w:t>
            </w: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1</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2</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3</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4</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5</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64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6</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tbl>
      <w:tblPr>
        <w:tblW w:type="auto" w:w="0"/>
        <w:jc w:val="center"/>
        <w:tblLayout w:type="fixed"/>
        <w:tblLook w:firstColumn="1" w:firstRow="1" w:lastColumn="0" w:lastRow="0" w:noHBand="0" w:noVBand="1" w:val="04A0"/>
      </w:tblPr>
      <w:tblGrid>
        <w:gridCol w:w="14400"/>
      </w:tblGrid>
      <w:tr>
        <w:tc>
          <w:tcPr>
            <w:tcW w:type="dxa" w:w="14400"/>
            <w:shd w:fill="F3E7C4" w:val="clear"/>
            <w:tcBorders>
              <w:top w:val="nil"/>
              <w:left w:val="nil"/>
              <w:bottom w:val="nil"/>
              <w:right w:val="nil"/>
            </w:tcBorders>
            <w:tcMar>
              <w:top w:w="90" w:type="dxa"/>
              <w:start w:w="100" w:type="dxa"/>
              <w:bottom w:w="90" w:type="dxa"/>
              <w:end w:w="100" w:type="dxa"/>
            </w:tcMar>
          </w:tcPr>
          <w:p>
            <w:pPr>
              <w:spacing w:before="0" w:after="0" w:line="240" w:lineRule="auto"/>
            </w:pPr>
            <w:r/>
            <w:r>
              <w:rPr>
                <w:rFonts w:ascii="Aptos" w:hAnsi="Aptos" w:eastAsia="Aptos"/>
                <w:b/>
                <w:color w:val="183B56"/>
                <w:sz w:val="21"/>
              </w:rPr>
              <w:t>Important</w:t>
            </w:r>
          </w:p>
          <w:p>
            <w:pPr>
              <w:spacing w:before="0" w:after="0" w:line="240" w:lineRule="auto"/>
            </w:pPr>
            <w:r>
              <w:rPr>
                <w:rFonts w:ascii="Aptos" w:hAnsi="Aptos" w:eastAsia="Aptos"/>
                <w:b w:val="0"/>
                <w:color w:val="263746"/>
                <w:sz w:val="18"/>
              </w:rPr>
              <w:t>Do not treat an unconfirmed name on a list as a working alternative. The supplier or source should be contactable, able to meet the required need, accessible within the required timeframe and supported by a practical ordering and payment arrangement.</w:t>
            </w:r>
          </w:p>
        </w:tc>
      </w:tr>
    </w:tbl>
    <w:p>
      <w:r>
        <w:br w:type="page"/>
      </w:r>
    </w:p>
    <w:p>
      <w:pPr>
        <w:pStyle w:val="SectionHead"/>
        <w:keepNext/>
      </w:pPr>
      <w:r>
        <w:t>3. Independence &amp; Shared-Exposure Test</w:t>
      </w:r>
    </w:p>
    <w:p>
      <w:pPr>
        <w:spacing w:after="100"/>
      </w:pPr>
      <w:r>
        <w:t>A primary and an alternate source may appear separate while depending on the same underlying manufacturer, location, shipping route, service provider or resource. Test whether the alternative is genuinely independent.</w:t>
      </w:r>
    </w:p>
    <w:tbl>
      <w:tblPr>
        <w:tblW w:type="auto" w:w="0"/>
        <w:jc w:val="center"/>
        <w:tblLayout w:type="fixed"/>
        <w:tblLook w:firstColumn="1" w:firstRow="1" w:lastColumn="0" w:lastRow="0" w:noHBand="0" w:noVBand="1" w:val="04A0"/>
      </w:tblPr>
      <w:tblGrid>
        <w:gridCol w:w="2057"/>
        <w:gridCol w:w="2057"/>
        <w:gridCol w:w="2057"/>
        <w:gridCol w:w="2057"/>
        <w:gridCol w:w="2057"/>
        <w:gridCol w:w="2057"/>
        <w:gridCol w:w="2057"/>
      </w:tblGrid>
      <w:tr>
        <w:trPr>
          <w:cantSplit/>
          <w:tblHeader w:val="true"/>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Supply / Resource</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Primary Supplier / Source</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Alternative Supplier / Source</w:t>
            </w:r>
          </w:p>
        </w:tc>
        <w:tc>
          <w:tcPr>
            <w:tcW w:type="dxa" w:w="30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Shared Dependency or Exposure</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Independent? Yes / Partly / No</w:t>
            </w:r>
          </w:p>
        </w:tc>
        <w:tc>
          <w:tcPr>
            <w:tcW w:type="dxa" w:w="25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What Must Change?</w:t>
            </w:r>
          </w:p>
        </w:tc>
        <w:tc>
          <w:tcPr>
            <w:tcW w:type="dxa" w:w="165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Owner / Date</w:t>
            </w:r>
          </w:p>
        </w:tc>
      </w:tr>
      <w:tr>
        <w:trPr>
          <w:cantSplit/>
          <w:trHeight w:val="1037"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65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65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65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65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65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tbl>
      <w:tblPr>
        <w:tblW w:type="auto" w:w="0"/>
        <w:jc w:val="center"/>
        <w:tblLayout w:type="fixed"/>
        <w:tblLook w:firstColumn="1" w:firstRow="1" w:lastColumn="0" w:lastRow="0" w:noHBand="0" w:noVBand="1" w:val="04A0"/>
      </w:tblPr>
      <w:tblGrid>
        <w:gridCol w:w="14400"/>
      </w:tblGrid>
      <w:tr>
        <w:tc>
          <w:tcPr>
            <w:tcW w:type="dxa" w:w="14400"/>
            <w:shd w:fill="F3E7C4" w:val="clear"/>
            <w:tcBorders>
              <w:top w:val="nil"/>
              <w:left w:val="nil"/>
              <w:bottom w:val="nil"/>
              <w:right w:val="nil"/>
            </w:tcBorders>
            <w:tcMar>
              <w:top w:w="90" w:type="dxa"/>
              <w:start w:w="100" w:type="dxa"/>
              <w:bottom w:w="90" w:type="dxa"/>
              <w:end w:w="100" w:type="dxa"/>
            </w:tcMar>
          </w:tcPr>
          <w:p>
            <w:pPr>
              <w:spacing w:before="0" w:after="0" w:line="240" w:lineRule="auto"/>
            </w:pPr>
            <w:r/>
            <w:r>
              <w:rPr>
                <w:rFonts w:ascii="Aptos" w:hAnsi="Aptos" w:eastAsia="Aptos"/>
                <w:b/>
                <w:color w:val="183B56"/>
                <w:sz w:val="21"/>
              </w:rPr>
              <w:t>Bahamas Supply-Chain Test</w:t>
            </w:r>
          </w:p>
          <w:p>
            <w:pPr>
              <w:spacing w:before="0" w:after="0" w:line="240" w:lineRule="auto"/>
            </w:pPr>
            <w:r>
              <w:rPr>
                <w:rFonts w:ascii="Aptos" w:hAnsi="Aptos" w:eastAsia="Aptos"/>
                <w:b w:val="0"/>
                <w:color w:val="263746"/>
                <w:sz w:val="18"/>
              </w:rPr>
              <w:t>Is the backup supplier vulnerable to the same disruption as the primary supplier? Ask what each supplier depends on to reach you - including the same port, airport, freight provider, inter-island route, fuel source, telecommunications service, storage facility or overseas manufacturer.</w:t>
            </w:r>
          </w:p>
        </w:tc>
      </w:tr>
    </w:tbl>
    <w:p>
      <w:pPr>
        <w:spacing w:after="80" w:before="0"/>
      </w:pPr>
      <w:r/>
    </w:p>
    <w:p>
      <w:pPr>
        <w:pStyle w:val="SmallHead"/>
        <w:keepNext/>
      </w:pPr>
      <w:r>
        <w:t>Shared exposures to test</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Origin / Manufacturer</w:t>
            </w:r>
          </w:p>
          <w:p>
            <w:pPr>
              <w:spacing w:before="0" w:after="0" w:line="240" w:lineRule="auto"/>
            </w:pPr>
            <w:r>
              <w:rPr>
                <w:rFonts w:ascii="Aptos" w:hAnsi="Aptos" w:eastAsia="Aptos"/>
                <w:b w:val="0"/>
                <w:color w:val="263746"/>
                <w:sz w:val="15"/>
              </w:rPr>
              <w:t>Do both sources rely on the same overseas manufacturer or geographic area?</w:t>
            </w:r>
          </w:p>
        </w:tc>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Port / Airport / Route</w:t>
            </w:r>
          </w:p>
          <w:p>
            <w:pPr>
              <w:spacing w:before="0" w:after="0" w:line="240" w:lineRule="auto"/>
            </w:pPr>
            <w:r>
              <w:rPr>
                <w:rFonts w:ascii="Aptos" w:hAnsi="Aptos" w:eastAsia="Aptos"/>
                <w:b w:val="0"/>
                <w:color w:val="263746"/>
                <w:sz w:val="15"/>
              </w:rPr>
              <w:t>Would one closure or delay stop both primary and alternate deliveries?</w:t>
            </w:r>
          </w:p>
        </w:tc>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Freight / Transport</w:t>
            </w:r>
          </w:p>
          <w:p>
            <w:pPr>
              <w:spacing w:before="0" w:after="0" w:line="240" w:lineRule="auto"/>
            </w:pPr>
            <w:r>
              <w:rPr>
                <w:rFonts w:ascii="Aptos" w:hAnsi="Aptos" w:eastAsia="Aptos"/>
                <w:b w:val="0"/>
                <w:color w:val="263746"/>
                <w:sz w:val="15"/>
              </w:rPr>
              <w:t>Do both use the same carrier, vessel, aircraft, trucking or inter-island provider?</w:t>
            </w:r>
          </w:p>
        </w:tc>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Utilities / Telecoms</w:t>
            </w:r>
          </w:p>
          <w:p>
            <w:pPr>
              <w:spacing w:before="0" w:after="0" w:line="240" w:lineRule="auto"/>
            </w:pPr>
            <w:r>
              <w:rPr>
                <w:rFonts w:ascii="Aptos" w:hAnsi="Aptos" w:eastAsia="Aptos"/>
                <w:b w:val="0"/>
                <w:color w:val="263746"/>
                <w:sz w:val="15"/>
              </w:rPr>
              <w:t>Could the same electricity, Internet, mobile or payment outage affect both?</w:t>
            </w:r>
          </w:p>
        </w:tc>
      </w:tr>
      <w:tr>
        <w:trPr>
          <w:cantSplit/>
        </w:trPr>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Fuel / Storage</w:t>
            </w:r>
          </w:p>
          <w:p>
            <w:pPr>
              <w:spacing w:before="0" w:after="0" w:line="240" w:lineRule="auto"/>
            </w:pPr>
            <w:r>
              <w:rPr>
                <w:rFonts w:ascii="Aptos" w:hAnsi="Aptos" w:eastAsia="Aptos"/>
                <w:b w:val="0"/>
                <w:color w:val="263746"/>
                <w:sz w:val="15"/>
              </w:rPr>
              <w:t>Do both depend on the same fuel source, warehouse, cold storage or handling facility?</w:t>
            </w:r>
          </w:p>
        </w:tc>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Payment / Credit</w:t>
            </w:r>
          </w:p>
          <w:p>
            <w:pPr>
              <w:spacing w:before="0" w:after="0" w:line="240" w:lineRule="auto"/>
            </w:pPr>
            <w:r>
              <w:rPr>
                <w:rFonts w:ascii="Aptos" w:hAnsi="Aptos" w:eastAsia="Aptos"/>
                <w:b w:val="0"/>
                <w:color w:val="263746"/>
                <w:sz w:val="15"/>
              </w:rPr>
              <w:t>Could one banking, card, transfer or credit problem prevent access to both?</w:t>
            </w:r>
          </w:p>
        </w:tc>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People / Authority</w:t>
            </w:r>
          </w:p>
          <w:p>
            <w:pPr>
              <w:spacing w:before="0" w:after="0" w:line="240" w:lineRule="auto"/>
            </w:pPr>
            <w:r>
              <w:rPr>
                <w:rFonts w:ascii="Aptos" w:hAnsi="Aptos" w:eastAsia="Aptos"/>
                <w:b w:val="0"/>
                <w:color w:val="263746"/>
                <w:sz w:val="15"/>
              </w:rPr>
              <w:t>Does one person control both relationships, accounts, approvals or access?</w:t>
            </w:r>
          </w:p>
        </w:tc>
        <w:tc>
          <w:tcPr>
            <w:tcW w:type="dxa" w:w="36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6"/>
              </w:rPr>
              <w:t>Timing / Capacity</w:t>
            </w:r>
          </w:p>
          <w:p>
            <w:pPr>
              <w:spacing w:before="0" w:after="0" w:line="240" w:lineRule="auto"/>
            </w:pPr>
            <w:r>
              <w:rPr>
                <w:rFonts w:ascii="Aptos" w:hAnsi="Aptos" w:eastAsia="Aptos"/>
                <w:b w:val="0"/>
                <w:color w:val="263746"/>
                <w:sz w:val="15"/>
              </w:rPr>
              <w:t>Can the alternative respond quickly enough and at the volume the business requires?</w:t>
            </w:r>
          </w:p>
        </w:tc>
      </w:tr>
    </w:tbl>
    <w:p>
      <w:r>
        <w:br w:type="page"/>
      </w:r>
    </w:p>
    <w:p>
      <w:pPr>
        <w:pStyle w:val="SectionHead"/>
        <w:keepNext/>
      </w:pPr>
      <w:r>
        <w:t>4. Transport, Shipping &amp; Logistics Dependencies</w:t>
      </w:r>
    </w:p>
    <w:p>
      <w:pPr>
        <w:spacing w:after="100"/>
      </w:pPr>
      <w:r>
        <w:t>Record the routes, ports, airports, freight providers and other logistical links required for critical products and resources to reach the business. Identify the signal that should trigger an alternate route or method.</w:t>
      </w:r>
    </w:p>
    <w:tbl>
      <w:tblPr>
        <w:tblW w:type="auto" w:w="0"/>
        <w:jc w:val="center"/>
        <w:tblLayout w:type="fixed"/>
        <w:tblLook w:firstColumn="1" w:firstRow="1" w:lastColumn="0" w:lastRow="0" w:noHBand="0" w:noVBand="1" w:val="04A0"/>
      </w:tblPr>
      <w:tblGrid>
        <w:gridCol w:w="1600"/>
        <w:gridCol w:w="1600"/>
        <w:gridCol w:w="1600"/>
        <w:gridCol w:w="1600"/>
        <w:gridCol w:w="1600"/>
        <w:gridCol w:w="1600"/>
        <w:gridCol w:w="1600"/>
        <w:gridCol w:w="1600"/>
        <w:gridCol w:w="1600"/>
      </w:tblGrid>
      <w:tr>
        <w:trPr>
          <w:cantSplit/>
          <w:tblHeader w:val="true"/>
        </w:trPr>
        <w:tc>
          <w:tcPr>
            <w:tcW w:type="dxa" w:w="5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Ref.</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Critical Item / Resource</w:t>
            </w: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Origin</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Usual Route / Port / Airport</w:t>
            </w: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Freight / Transport Provider</w:t>
            </w: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Normal Delivery Time</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Disruption Signal</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Backup Route / Method</w:t>
            </w: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4"/>
              </w:rPr>
              <w:t>Contact / Owner</w:t>
            </w:r>
          </w:p>
        </w:tc>
      </w:tr>
      <w:tr>
        <w:trPr>
          <w:cantSplit/>
          <w:trHeight w:val="1037" w:hRule="atLeast"/>
        </w:trPr>
        <w:tc>
          <w:tcPr>
            <w:tcW w:type="dxa" w:w="5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1</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5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2</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5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3</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5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4</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57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center"/>
            </w:pPr>
            <w:r/>
            <w:r>
              <w:rPr>
                <w:rFonts w:ascii="Aptos" w:hAnsi="Aptos" w:eastAsia="Aptos"/>
                <w:b w:val="0"/>
                <w:color w:val="6B747A"/>
                <w:sz w:val="16"/>
              </w:rPr>
              <w:t>5</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p>
      <w:pPr>
        <w:pStyle w:val="SmallHead"/>
        <w:keepNext/>
      </w:pPr>
      <w:r>
        <w:t>Logistics reality check</w:t>
      </w:r>
    </w:p>
    <w:tbl>
      <w:tblPr>
        <w:tblW w:type="auto" w:w="0"/>
        <w:jc w:val="center"/>
        <w:tblLayout w:type="fixed"/>
        <w:tblLook w:firstColumn="1" w:firstRow="1" w:lastColumn="0" w:lastRow="0" w:noHBand="0" w:noVBand="1" w:val="04A0"/>
      </w:tblPr>
      <w:tblGrid>
        <w:gridCol w:w="4800"/>
        <w:gridCol w:w="4800"/>
        <w:gridCol w:w="4800"/>
      </w:tblGrid>
      <w:tr>
        <w:trPr>
          <w:cantSplit/>
        </w:trPr>
        <w:tc>
          <w:tcPr>
            <w:tcW w:type="dxa" w:w="48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Access interruption</w:t>
            </w:r>
          </w:p>
          <w:p>
            <w:pPr>
              <w:spacing w:before="0" w:after="0" w:line="240" w:lineRule="auto"/>
            </w:pPr>
            <w:r>
              <w:rPr>
                <w:rFonts w:ascii="Aptos" w:hAnsi="Aptos" w:eastAsia="Aptos"/>
                <w:b w:val="0"/>
                <w:color w:val="263746"/>
                <w:sz w:val="16"/>
              </w:rPr>
              <w:t>What happens if the usual port, airport, road, dock, warehouse or delivery area cannot be used?</w:t>
            </w:r>
          </w:p>
        </w:tc>
        <w:tc>
          <w:tcPr>
            <w:tcW w:type="dxa" w:w="48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Delay and congestion</w:t>
            </w:r>
          </w:p>
          <w:p>
            <w:pPr>
              <w:spacing w:before="0" w:after="0" w:line="240" w:lineRule="auto"/>
            </w:pPr>
            <w:r>
              <w:rPr>
                <w:rFonts w:ascii="Aptos" w:hAnsi="Aptos" w:eastAsia="Aptos"/>
                <w:b w:val="0"/>
                <w:color w:val="263746"/>
                <w:sz w:val="16"/>
              </w:rPr>
              <w:t>How would customs delays, fuel shortages, reduced sailings or freight backlogs affect recovery time?</w:t>
            </w:r>
          </w:p>
        </w:tc>
        <w:tc>
          <w:tcPr>
            <w:tcW w:type="dxa" w:w="4801"/>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Last-mile delivery</w:t>
            </w:r>
          </w:p>
          <w:p>
            <w:pPr>
              <w:spacing w:before="0" w:after="0" w:line="240" w:lineRule="auto"/>
            </w:pPr>
            <w:r>
              <w:rPr>
                <w:rFonts w:ascii="Aptos" w:hAnsi="Aptos" w:eastAsia="Aptos"/>
                <w:b w:val="0"/>
                <w:color w:val="263746"/>
                <w:sz w:val="16"/>
              </w:rPr>
              <w:t>Even if the product reaches the island, who and what are required to move it to the business?</w:t>
            </w:r>
          </w:p>
        </w:tc>
      </w:tr>
    </w:tbl>
    <w:p>
      <w:r>
        <w:br w:type="page"/>
      </w:r>
    </w:p>
    <w:p>
      <w:pPr>
        <w:pStyle w:val="SectionHead"/>
        <w:keepNext/>
      </w:pPr>
      <w:r>
        <w:t>5. Minimum Stock &amp; Critical Resource Levels</w:t>
      </w:r>
    </w:p>
    <w:p>
      <w:pPr>
        <w:spacing w:after="100"/>
      </w:pPr>
      <w:r>
        <w:t>For items that can be stored or held in reserve, define the minimum level needed, the action point for replenishment and the substitute or workaround if normal supply is interrupted.</w:t>
      </w:r>
    </w:p>
    <w:tbl>
      <w:tblPr>
        <w:tblW w:type="auto" w:w="0"/>
        <w:jc w:val="center"/>
        <w:tblLayout w:type="fixed"/>
        <w:tblLook w:firstColumn="1" w:firstRow="1" w:lastColumn="0" w:lastRow="0" w:noHBand="0" w:noVBand="1" w:val="04A0"/>
      </w:tblPr>
      <w:tblGrid>
        <w:gridCol w:w="1600"/>
        <w:gridCol w:w="1600"/>
        <w:gridCol w:w="1600"/>
        <w:gridCol w:w="1600"/>
        <w:gridCol w:w="1600"/>
        <w:gridCol w:w="1600"/>
        <w:gridCol w:w="1600"/>
        <w:gridCol w:w="1600"/>
        <w:gridCol w:w="1600"/>
      </w:tblGrid>
      <w:tr>
        <w:trPr>
          <w:cantSplit/>
          <w:tblHeader w:val="true"/>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Item / Resource</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Unit / Rate of Use</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Minimum Level Needed</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Current / Typical Level</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Reorder / Action Point</w:t>
            </w: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Days Supported</w:t>
            </w: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Storage / Expiry / Security</w:t>
            </w: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Substitute / Workaround</w:t>
            </w: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Owner</w:t>
            </w:r>
          </w:p>
        </w:tc>
      </w:tr>
      <w:tr>
        <w:trPr>
          <w:cantSplit/>
          <w:trHeight w:val="979"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79"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79"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79"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79"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79"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1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0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p>
      <w:pPr>
        <w:pStyle w:val="SmallHead"/>
        <w:keepNext/>
      </w:pPr>
      <w:r>
        <w:t>Prioritize when supply is limited</w:t>
      </w:r>
    </w:p>
    <w:tbl>
      <w:tblPr>
        <w:tblW w:type="auto" w:w="0"/>
        <w:jc w:val="center"/>
        <w:tblLayout w:type="fixed"/>
        <w:tblLook w:firstColumn="1" w:firstRow="1" w:lastColumn="0" w:lastRow="0" w:noHBand="0" w:noVBand="1" w:val="04A0"/>
      </w:tblPr>
      <w:tblGrid>
        <w:gridCol w:w="4800"/>
        <w:gridCol w:w="4800"/>
        <w:gridCol w:w="4800"/>
      </w:tblGrid>
      <w:tr>
        <w:trPr>
          <w:cantSplit/>
        </w:trPr>
        <w:tc>
          <w:tcPr>
            <w:tcW w:type="dxa" w:w="48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Continue</w:t>
            </w:r>
          </w:p>
          <w:p>
            <w:pPr>
              <w:spacing w:before="0" w:after="0" w:line="240" w:lineRule="auto"/>
            </w:pPr>
            <w:r>
              <w:rPr>
                <w:rFonts w:ascii="Aptos" w:hAnsi="Aptos" w:eastAsia="Aptos"/>
                <w:b w:val="0"/>
                <w:color w:val="263746"/>
                <w:sz w:val="16"/>
              </w:rPr>
              <w:t>Which critical functions must continue to receive the resource first?</w:t>
            </w:r>
          </w:p>
        </w:tc>
        <w:tc>
          <w:tcPr>
            <w:tcW w:type="dxa" w:w="4800"/>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Reduce</w:t>
            </w:r>
          </w:p>
          <w:p>
            <w:pPr>
              <w:spacing w:before="0" w:after="0" w:line="240" w:lineRule="auto"/>
            </w:pPr>
            <w:r>
              <w:rPr>
                <w:rFonts w:ascii="Aptos" w:hAnsi="Aptos" w:eastAsia="Aptos"/>
                <w:b w:val="0"/>
                <w:color w:val="263746"/>
                <w:sz w:val="16"/>
              </w:rPr>
              <w:t>What service level, usage rate or operating hours can be reduced temporarily?</w:t>
            </w:r>
          </w:p>
        </w:tc>
        <w:tc>
          <w:tcPr>
            <w:tcW w:type="dxa" w:w="4801"/>
            <w:tcBorders>
              <w:top w:val="single" w:sz="4" w:space="0" w:color="E1E8EC"/>
              <w:left w:val="single" w:sz="4" w:space="0" w:color="E1E8EC"/>
              <w:bottom w:val="single" w:sz="4" w:space="0" w:color="E1E8EC"/>
              <w:right w:val="single" w:sz="4" w:space="0" w:color="E1E8EC"/>
            </w:tcBorders>
            <w:tcMar>
              <w:top w:w="70" w:type="dxa"/>
              <w:start w:w="80" w:type="dxa"/>
              <w:bottom w:w="70" w:type="dxa"/>
              <w:end w:w="80" w:type="dxa"/>
            </w:tcMar>
            <w:vAlign w:val="center"/>
            <w:shd w:fill="F6F8F9" w:val="clear"/>
          </w:tcPr>
          <w:p>
            <w:pPr>
              <w:spacing w:before="0" w:after="20" w:line="240" w:lineRule="auto"/>
            </w:pPr>
            <w:r/>
            <w:r>
              <w:rPr>
                <w:rFonts w:ascii="Aptos" w:hAnsi="Aptos" w:eastAsia="Aptos"/>
                <w:b/>
                <w:color w:val="2B6F73"/>
                <w:sz w:val="17"/>
              </w:rPr>
              <w:t>Suspend / Substitute</w:t>
            </w:r>
          </w:p>
          <w:p>
            <w:pPr>
              <w:spacing w:before="0" w:after="0" w:line="240" w:lineRule="auto"/>
            </w:pPr>
            <w:r>
              <w:rPr>
                <w:rFonts w:ascii="Aptos" w:hAnsi="Aptos" w:eastAsia="Aptos"/>
                <w:b w:val="0"/>
                <w:color w:val="263746"/>
                <w:sz w:val="16"/>
              </w:rPr>
              <w:t>What can be paused, rationed, substituted or delivered another way?</w:t>
            </w:r>
          </w:p>
        </w:tc>
      </w:tr>
    </w:tbl>
    <w:p>
      <w:r>
        <w:br w:type="page"/>
      </w:r>
    </w:p>
    <w:p>
      <w:pPr>
        <w:pStyle w:val="SectionHead"/>
        <w:keepNext/>
      </w:pPr>
      <w:r>
        <w:t>6. Switching Triggers &amp; Continuity Actions</w:t>
      </w:r>
    </w:p>
    <w:p>
      <w:pPr>
        <w:spacing w:after="100"/>
      </w:pPr>
      <w:r>
        <w:t>A supplier or resource alternative should be activated when a defined condition occurs. Record the trigger, decision-maker, first action and the conditions for reviewing or ending the arrangement.</w:t>
      </w:r>
    </w:p>
    <w:tbl>
      <w:tblPr>
        <w:tblW w:type="auto" w:w="0"/>
        <w:jc w:val="center"/>
        <w:tblLayout w:type="fixed"/>
        <w:tblLook w:firstColumn="1" w:firstRow="1" w:lastColumn="0" w:lastRow="0" w:noHBand="0" w:noVBand="1" w:val="04A0"/>
      </w:tblPr>
      <w:tblGrid>
        <w:gridCol w:w="1800"/>
        <w:gridCol w:w="1800"/>
        <w:gridCol w:w="1800"/>
        <w:gridCol w:w="1800"/>
        <w:gridCol w:w="1800"/>
        <w:gridCol w:w="1800"/>
        <w:gridCol w:w="1800"/>
        <w:gridCol w:w="1800"/>
      </w:tblGrid>
      <w:tr>
        <w:trPr>
          <w:cantSplit/>
          <w:tblHeader w:val="true"/>
        </w:trPr>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Supply / Resource</w:t>
            </w: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Trigger / Condition</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Who Decides?</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First Action</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Alternative Activated</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Communication Required</w:t>
            </w:r>
          </w:p>
        </w:tc>
        <w:tc>
          <w:tcPr>
            <w:tcW w:type="dxa" w:w="187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Review / End Condition</w:t>
            </w: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Last Tested</w:t>
            </w:r>
          </w:p>
        </w:tc>
      </w:tr>
      <w:tr>
        <w:trPr>
          <w:cantSplit/>
          <w:trHeight w:val="1037" w:hRule="atLeast"/>
        </w:trPr>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7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7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7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7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1037" w:hRule="atLeast"/>
        </w:trPr>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7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1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tbl>
      <w:tblPr>
        <w:tblW w:type="auto" w:w="0"/>
        <w:jc w:val="center"/>
        <w:tblLayout w:type="fixed"/>
        <w:tblLook w:firstColumn="1" w:firstRow="1" w:lastColumn="0" w:lastRow="0" w:noHBand="0" w:noVBand="1" w:val="04A0"/>
      </w:tblPr>
      <w:tblGrid>
        <w:gridCol w:w="14400"/>
      </w:tblGrid>
      <w:tr>
        <w:tc>
          <w:tcPr>
            <w:tcW w:type="dxa" w:w="14400"/>
            <w:shd w:fill="EAF1F4" w:val="clear"/>
            <w:tcBorders>
              <w:top w:val="nil"/>
              <w:left w:val="nil"/>
              <w:bottom w:val="nil"/>
              <w:right w:val="nil"/>
            </w:tcBorders>
            <w:tcMar>
              <w:top w:w="90" w:type="dxa"/>
              <w:start w:w="100" w:type="dxa"/>
              <w:bottom w:w="90" w:type="dxa"/>
              <w:end w:w="100" w:type="dxa"/>
            </w:tcMar>
          </w:tcPr>
          <w:p>
            <w:pPr>
              <w:spacing w:before="0" w:after="0" w:line="240" w:lineRule="auto"/>
            </w:pPr>
            <w:r/>
            <w:r>
              <w:rPr>
                <w:rFonts w:ascii="Aptos" w:hAnsi="Aptos" w:eastAsia="Aptos"/>
                <w:b/>
                <w:color w:val="183B56"/>
                <w:sz w:val="21"/>
              </w:rPr>
              <w:t>Possible switching triggers</w:t>
            </w:r>
          </w:p>
          <w:p>
            <w:pPr>
              <w:spacing w:before="0" w:after="0" w:line="240" w:lineRule="auto"/>
            </w:pPr>
            <w:r>
              <w:rPr>
                <w:rFonts w:ascii="Aptos" w:hAnsi="Aptos" w:eastAsia="Aptos"/>
                <w:b w:val="0"/>
                <w:color w:val="263746"/>
                <w:sz w:val="18"/>
              </w:rPr>
              <w:t>The primary supplier cannot deliver within the required timeframe; stock reaches the reorder or action point; a port, airport or route closes; the supplier cannot confirm capacity; a utility or service outage threatens the Target Recovery Time; required cost, credit or payment conditions exceed an approved limit; or a substitute is needed to maintain Minimum Viable Operations.</w:t>
            </w:r>
          </w:p>
        </w:tc>
      </w:tr>
    </w:tbl>
    <w:p>
      <w:pPr>
        <w:spacing w:after="80" w:before="0"/>
      </w:pPr>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648" w:hRule="atLeast"/>
        </w:trPr>
        <w:tc>
          <w:tcPr>
            <w:tcW w:type="dxa" w:w="28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Primary authority to switch supplier / source</w:t>
            </w:r>
          </w:p>
        </w:tc>
        <w:tc>
          <w:tcPr>
            <w:tcW w:type="dxa" w:w="43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c>
          <w:tcPr>
            <w:tcW w:type="dxa" w:w="28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Alternate authority</w:t>
            </w:r>
          </w:p>
        </w:tc>
        <w:tc>
          <w:tcPr>
            <w:tcW w:type="dxa" w:w="43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r>
      <w:tr>
        <w:trPr>
          <w:cantSplit/>
          <w:trHeight w:val="648" w:hRule="atLeast"/>
        </w:trPr>
        <w:tc>
          <w:tcPr>
            <w:tcW w:type="dxa" w:w="28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Emergency spending limit</w:t>
            </w:r>
          </w:p>
        </w:tc>
        <w:tc>
          <w:tcPr>
            <w:tcW w:type="dxa" w:w="43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c>
          <w:tcPr>
            <w:tcW w:type="dxa" w:w="28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Approval / review condition</w:t>
            </w:r>
          </w:p>
        </w:tc>
        <w:tc>
          <w:tcPr>
            <w:tcW w:type="dxa" w:w="432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r>
    </w:tbl>
    <w:p>
      <w:r>
        <w:br w:type="page"/>
      </w:r>
    </w:p>
    <w:p>
      <w:pPr>
        <w:pStyle w:val="SectionHead"/>
        <w:keepNext/>
      </w:pPr>
      <w:r>
        <w:t>7. Emergency Procurement, Payment &amp; Access Arrangements</w:t>
      </w:r>
    </w:p>
    <w:p>
      <w:pPr>
        <w:spacing w:after="100"/>
      </w:pPr>
      <w:r>
        <w:t>Confirm that authorized personnel can obtain, approve and pay for critical supplies and resources during disruption. Record where instructions and supporting records are kept without placing passwords or PINs in this register.</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blHeader w:val="true"/>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6"/>
              </w:rPr>
              <w:t>Decision / Requirement</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6"/>
              </w:rPr>
              <w:t>Primary Authority / Arrangement</w:t>
            </w: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6"/>
              </w:rPr>
              <w:t>Alternate / Backup</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6"/>
              </w:rPr>
              <w:t>Limits / Conditions</w:t>
            </w: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6"/>
              </w:rPr>
              <w:t>Where Instructions / Records Are Kept</w:t>
            </w: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Approve emergency purchase</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Change supplier or accept substitute</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Approve deposit, credit or advance payment</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Access banking / payment system</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Issue purchase order / vendor setup</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Approve transport or expedited freight</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35"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before="0" w:after="0" w:line="240" w:lineRule="auto"/>
              <w:jc w:val="left"/>
            </w:pPr>
            <w:r/>
            <w:r>
              <w:rPr>
                <w:rFonts w:ascii="Aptos" w:hAnsi="Aptos" w:eastAsia="Aptos"/>
                <w:b/>
                <w:color w:val="183B56"/>
                <w:sz w:val="16"/>
              </w:rPr>
              <w:t>Confirm customs, tax or regulatory documents</w:t>
            </w: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02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31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tbl>
      <w:tblPr>
        <w:tblW w:type="auto" w:w="0"/>
        <w:jc w:val="center"/>
        <w:tblLayout w:type="fixed"/>
        <w:tblLook w:firstColumn="1" w:firstRow="1" w:lastColumn="0" w:lastRow="0" w:noHBand="0" w:noVBand="1" w:val="04A0"/>
      </w:tblPr>
      <w:tblGrid>
        <w:gridCol w:w="14400"/>
      </w:tblGrid>
      <w:tr>
        <w:tc>
          <w:tcPr>
            <w:tcW w:type="dxa" w:w="14400"/>
            <w:shd w:fill="F3E7C4" w:val="clear"/>
            <w:tcBorders>
              <w:top w:val="nil"/>
              <w:left w:val="nil"/>
              <w:bottom w:val="nil"/>
              <w:right w:val="nil"/>
            </w:tcBorders>
            <w:tcMar>
              <w:top w:w="90" w:type="dxa"/>
              <w:start w:w="100" w:type="dxa"/>
              <w:bottom w:w="90" w:type="dxa"/>
              <w:end w:w="100" w:type="dxa"/>
            </w:tcMar>
          </w:tcPr>
          <w:p>
            <w:pPr>
              <w:spacing w:before="0" w:after="0" w:line="240" w:lineRule="auto"/>
            </w:pPr>
            <w:r/>
            <w:r>
              <w:rPr>
                <w:rFonts w:ascii="Aptos" w:hAnsi="Aptos" w:eastAsia="Aptos"/>
                <w:b/>
                <w:color w:val="183B56"/>
                <w:sz w:val="21"/>
              </w:rPr>
              <w:t>Security reminder</w:t>
            </w:r>
          </w:p>
          <w:p>
            <w:pPr>
              <w:spacing w:before="0" w:after="0" w:line="240" w:lineRule="auto"/>
            </w:pPr>
            <w:r>
              <w:rPr>
                <w:rFonts w:ascii="Aptos" w:hAnsi="Aptos" w:eastAsia="Aptos"/>
                <w:b w:val="0"/>
                <w:color w:val="263746"/>
                <w:sz w:val="18"/>
              </w:rPr>
              <w:t>Do not record passwords, PINs, security answers or full banking credentials in this register. Record where authorized personnel can securely access them and confirm that at least one alternate person has the required authority and access.</w:t>
            </w:r>
          </w:p>
        </w:tc>
      </w:tr>
    </w:tbl>
    <w:p>
      <w:r>
        <w:br w:type="page"/>
      </w:r>
    </w:p>
    <w:p>
      <w:pPr>
        <w:pStyle w:val="SectionHead"/>
        <w:keepNext/>
      </w:pPr>
      <w:r>
        <w:t>8. Supplier, Resource &amp; Escalation Contact Directory</w:t>
      </w:r>
    </w:p>
    <w:p>
      <w:pPr>
        <w:spacing w:after="100"/>
      </w:pPr>
      <w:r>
        <w:t>Maintain current primary, alternate and after-hours contacts. Use account or reference numbers only where appropriate and protect commercially sensitive information according to business policy.</w:t>
      </w:r>
    </w:p>
    <w:tbl>
      <w:tblPr>
        <w:tblW w:type="auto" w:w="0"/>
        <w:jc w:val="center"/>
        <w:tblLayout w:type="fixed"/>
        <w:tblLook w:firstColumn="1" w:firstRow="1" w:lastColumn="0" w:lastRow="0" w:noHBand="0" w:noVBand="1" w:val="04A0"/>
      </w:tblPr>
      <w:tblGrid>
        <w:gridCol w:w="1800"/>
        <w:gridCol w:w="1800"/>
        <w:gridCol w:w="1800"/>
        <w:gridCol w:w="1800"/>
        <w:gridCol w:w="1800"/>
        <w:gridCol w:w="1800"/>
        <w:gridCol w:w="1800"/>
        <w:gridCol w:w="1800"/>
      </w:tblGrid>
      <w:tr>
        <w:trPr>
          <w:cantSplit/>
          <w:tblHeader w:val="true"/>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Supply / Resource</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Organization</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Primary Contact</w:t>
            </w: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Alternate / After-Hours Contact</w:t>
            </w: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Phone / Email</w:t>
            </w: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Account / Reference</w:t>
            </w: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Internal Owner</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Escalation / Notes</w:t>
            </w: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922" w:hRule="atLeast"/>
        </w:trPr>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08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44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662"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Directory last checked</w:t>
            </w:r>
          </w:p>
        </w:tc>
        <w:tc>
          <w:tcPr>
            <w:tcW w:type="dxa" w:w="46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Checked by</w:t>
            </w:r>
          </w:p>
        </w:tc>
        <w:tc>
          <w:tcPr>
            <w:tcW w:type="dxa" w:w="46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r>
      <w:tr>
        <w:trPr>
          <w:cantSplit/>
          <w:trHeight w:val="662" w:hRule="atLeast"/>
        </w:trPr>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Next review date</w:t>
            </w:r>
          </w:p>
        </w:tc>
        <w:tc>
          <w:tcPr>
            <w:tcW w:type="dxa" w:w="46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c>
          <w:tcPr>
            <w:tcW w:type="dxa" w:w="259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color w:val="183B56"/>
                <w:sz w:val="16"/>
              </w:rPr>
              <w:t>Secure storage location</w:t>
            </w:r>
          </w:p>
        </w:tc>
        <w:tc>
          <w:tcPr>
            <w:tcW w:type="dxa" w:w="460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vAlign w:val="center"/>
          </w:tcPr>
          <w:p>
            <w:pPr>
              <w:spacing w:before="0" w:after="0" w:line="240" w:lineRule="auto"/>
              <w:jc w:val="left"/>
            </w:pPr>
            <w:r/>
            <w:r>
              <w:rPr>
                <w:rFonts w:ascii="Aptos" w:hAnsi="Aptos" w:eastAsia="Aptos"/>
                <w:b w:val="0"/>
                <w:color w:val="263746"/>
                <w:sz w:val="16"/>
              </w:rPr>
            </w:r>
          </w:p>
        </w:tc>
      </w:tr>
    </w:tbl>
    <w:p>
      <w:r>
        <w:br w:type="page"/>
      </w:r>
    </w:p>
    <w:p>
      <w:pPr>
        <w:pStyle w:val="SectionHead"/>
        <w:keepNext/>
      </w:pPr>
      <w:r>
        <w:t>9. Confirmation, Testing &amp; Review Record</w:t>
      </w:r>
    </w:p>
    <w:p>
      <w:pPr>
        <w:spacing w:after="100"/>
      </w:pPr>
      <w:r>
        <w:t>Record each confirmation, call, test or review used to verify that supplier and resource continuity arrangements remain practical. A listed alternative should be reconfirmed whenever important circumstances change.</w:t>
      </w:r>
    </w:p>
    <w:tbl>
      <w:tblPr>
        <w:tblW w:type="auto" w:w="0"/>
        <w:jc w:val="center"/>
        <w:tblLayout w:type="fixed"/>
        <w:tblLook w:firstColumn="1" w:firstRow="1" w:lastColumn="0" w:lastRow="0" w:noHBand="0" w:noVBand="1" w:val="04A0"/>
      </w:tblPr>
      <w:tblGrid>
        <w:gridCol w:w="1800"/>
        <w:gridCol w:w="1800"/>
        <w:gridCol w:w="1800"/>
        <w:gridCol w:w="1800"/>
        <w:gridCol w:w="1800"/>
        <w:gridCol w:w="1800"/>
        <w:gridCol w:w="1800"/>
        <w:gridCol w:w="1800"/>
      </w:tblGrid>
      <w:tr>
        <w:trPr>
          <w:cantSplit/>
          <w:tblHeader w:val="true"/>
        </w:trPr>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Date</w:t>
            </w: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Supplier / Resource</w:t>
            </w:r>
          </w:p>
        </w:tc>
        <w:tc>
          <w:tcPr>
            <w:tcW w:type="dxa" w:w="29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What Was Confirmed or Tested?</w:t>
            </w: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Method / Evidence</w:t>
            </w: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Result</w:t>
            </w: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Action Required</w:t>
            </w: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Owner / Target Date</w:t>
            </w:r>
          </w:p>
        </w:tc>
        <w:tc>
          <w:tcPr>
            <w:tcW w:type="dxa" w:w="13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183B56" w:val="clear"/>
            <w:vAlign w:val="center"/>
          </w:tcPr>
          <w:p>
            <w:pPr>
              <w:spacing w:before="0" w:after="0" w:line="240" w:lineRule="auto"/>
              <w:jc w:val="center"/>
            </w:pPr>
            <w:r/>
            <w:r>
              <w:rPr>
                <w:rFonts w:ascii="Aptos" w:hAnsi="Aptos" w:eastAsia="Aptos"/>
                <w:b/>
                <w:color w:val="FFFFFF"/>
                <w:sz w:val="15"/>
              </w:rPr>
              <w:t>Next Review</w:t>
            </w:r>
          </w:p>
        </w:tc>
      </w:tr>
      <w:tr>
        <w:trPr>
          <w:cantSplit/>
          <w:trHeight w:val="806" w:hRule="atLeast"/>
        </w:trPr>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9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3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06" w:hRule="atLeast"/>
        </w:trPr>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9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3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06" w:hRule="atLeast"/>
        </w:trPr>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9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3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06" w:hRule="atLeast"/>
        </w:trPr>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9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3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r>
        <w:trPr>
          <w:cantSplit/>
          <w:trHeight w:val="806" w:hRule="atLeast"/>
        </w:trPr>
        <w:tc>
          <w:tcPr>
            <w:tcW w:type="dxa" w:w="108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800"/>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95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944"/>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296"/>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2232"/>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72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c>
          <w:tcPr>
            <w:tcW w:type="dxa" w:w="1368"/>
            <w:tcBorders>
              <w:top w:val="single" w:sz="6" w:space="0" w:color="B9CAD3"/>
              <w:left w:val="single" w:sz="6" w:space="0" w:color="B9CAD3"/>
              <w:bottom w:val="single" w:sz="6" w:space="0" w:color="B9CAD3"/>
              <w:right w:val="single" w:sz="6" w:space="0" w:color="B9CAD3"/>
            </w:tcBorders>
            <w:tcMar>
              <w:top w:w="70" w:type="dxa"/>
              <w:start w:w="90" w:type="dxa"/>
              <w:bottom w:w="70" w:type="dxa"/>
              <w:end w:w="90" w:type="dxa"/>
            </w:tcMar>
            <w:shd w:fill="FFFFFF" w:val="clear"/>
            <w:vAlign w:val="center"/>
          </w:tcPr>
          <w:p>
            <w:pPr>
              <w:spacing w:after="0" w:line="240" w:lineRule="auto"/>
            </w:pPr>
          </w:p>
        </w:tc>
      </w:tr>
    </w:tbl>
    <w:p>
      <w:pPr>
        <w:spacing w:after="100" w:before="0"/>
      </w:pPr>
      <w:r/>
    </w:p>
    <w:p>
      <w:pPr>
        <w:pStyle w:val="SmallHead"/>
        <w:keepNext/>
      </w:pPr>
      <w:r>
        <w:t>What to confirm or test</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Contact details and after-hours access</w:t>
            </w:r>
          </w:p>
        </w:tc>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Product, service or resource capacity</w:t>
            </w:r>
          </w:p>
        </w:tc>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Normal and emergency lead times</w:t>
            </w:r>
          </w:p>
        </w:tc>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Shipping route and transport arrangements</w:t>
            </w:r>
          </w:p>
        </w:tc>
      </w:tr>
      <w:tr>
        <w:trPr>
          <w:cantSplit/>
        </w:trPr>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Pricing, credit and payment process</w:t>
            </w:r>
          </w:p>
        </w:tc>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Substitute product or workaround</w:t>
            </w:r>
          </w:p>
        </w:tc>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Authority to switch and place an order</w:t>
            </w:r>
          </w:p>
        </w:tc>
        <w:tc>
          <w:tcPr>
            <w:tcW w:type="dxa" w:w="3600"/>
            <w:tcBorders>
              <w:top w:val="single" w:sz="4" w:space="0" w:color="E1E8EC"/>
              <w:left w:val="single" w:sz="4" w:space="0" w:color="E1E8EC"/>
              <w:bottom w:val="single" w:sz="4" w:space="0" w:color="E1E8EC"/>
              <w:right w:val="single" w:sz="4" w:space="0" w:color="E1E8EC"/>
            </w:tcBorders>
            <w:tcMar>
              <w:top w:w="70" w:type="dxa"/>
              <w:start w:w="90" w:type="dxa"/>
              <w:bottom w:w="70" w:type="dxa"/>
              <w:end w:w="90" w:type="dxa"/>
            </w:tcMar>
            <w:vAlign w:val="center"/>
            <w:shd w:fill="F6F8F9" w:val="clear"/>
          </w:tcPr>
          <w:p>
            <w:pPr>
              <w:spacing w:before="0" w:after="0" w:line="240" w:lineRule="auto"/>
              <w:jc w:val="left"/>
            </w:pPr>
            <w:r/>
            <w:r>
              <w:rPr>
                <w:rFonts w:ascii="Aptos" w:hAnsi="Aptos" w:eastAsia="Aptos"/>
                <w:b w:val="0"/>
                <w:color w:val="263746"/>
                <w:sz w:val="16"/>
              </w:rPr>
              <w:t>☐ Supporting records and secure access</w:t>
            </w:r>
          </w:p>
        </w:tc>
      </w:tr>
    </w:tbl>
    <w:p>
      <w:pPr>
        <w:spacing w:after="60" w:before="0"/>
      </w:pPr>
      <w:r/>
    </w:p>
    <w:p>
      <w:pPr>
        <w:pStyle w:val="SmallHead"/>
        <w:keepNext/>
      </w:pPr>
      <w:r>
        <w:t>Priority actions</w:t>
      </w:r>
    </w:p>
    <w:tbl>
      <w:tblPr>
        <w:tblW w:type="auto" w:w="0"/>
        <w:jc w:val="center"/>
        <w:tblLayout w:type="fixed"/>
        <w:tblLook w:firstColumn="1" w:firstRow="1" w:lastColumn="0" w:lastRow="0" w:noHBand="0" w:noVBand="1" w:val="04A0"/>
      </w:tblPr>
      <w:tblGrid>
        <w:gridCol w:w="4800"/>
        <w:gridCol w:w="4800"/>
        <w:gridCol w:w="4800"/>
      </w:tblGrid>
      <w:tr>
        <w:trPr>
          <w:cantSplit/>
        </w:trPr>
        <w:tc>
          <w:tcPr>
            <w:tcW w:type="dxa" w:w="4800"/>
            <w:tcBorders>
              <w:top w:val="single" w:sz="4" w:space="0" w:color="D6E1E6"/>
              <w:left w:val="single" w:sz="4" w:space="0" w:color="D6E1E6"/>
              <w:bottom w:val="single" w:sz="4" w:space="0" w:color="D6E1E6"/>
              <w:right w:val="single" w:sz="4" w:space="0" w:color="D6E1E6"/>
            </w:tcBorders>
            <w:tcMar>
              <w:top w:w="80" w:type="dxa"/>
              <w:start w:w="90" w:type="dxa"/>
              <w:bottom w:w="80" w:type="dxa"/>
              <w:end w:w="90" w:type="dxa"/>
            </w:tcMar>
            <w:shd w:fill="F6F8F9" w:val="clear"/>
            <w:vAlign w:val="top"/>
          </w:tcPr>
          <w:p>
            <w:pPr>
              <w:spacing w:before="0" w:after="0" w:line="240" w:lineRule="auto"/>
            </w:pPr>
            <w:r/>
            <w:r>
              <w:rPr>
                <w:rFonts w:ascii="Aptos" w:hAnsi="Aptos" w:eastAsia="Aptos"/>
                <w:b/>
                <w:color w:val="2B6F73"/>
                <w:sz w:val="18"/>
              </w:rPr>
              <w:t>Priority 1</w:t>
            </w:r>
          </w:p>
          <w:p>
            <w:pPr>
              <w:spacing w:before="20" w:after="0"/>
            </w:pPr>
            <w:r>
              <w:rPr>
                <w:rFonts w:ascii="Aptos" w:hAnsi="Aptos" w:eastAsia="Aptos"/>
                <w:b/>
                <w:color w:val="183B56"/>
                <w:sz w:val="16"/>
              </w:rPr>
              <w:t xml:space="preserve">Supply / resource:  </w:t>
            </w:r>
          </w:p>
          <w:p>
            <w:pPr>
              <w:spacing w:before="20" w:after="0"/>
            </w:pPr>
            <w:r>
              <w:rPr>
                <w:rFonts w:ascii="Aptos" w:hAnsi="Aptos" w:eastAsia="Aptos"/>
                <w:b/>
                <w:color w:val="183B56"/>
                <w:sz w:val="16"/>
              </w:rPr>
              <w:t xml:space="preserve">Action:  </w:t>
            </w:r>
          </w:p>
          <w:p>
            <w:pPr>
              <w:spacing w:before="20" w:after="0"/>
            </w:pPr>
            <w:r>
              <w:rPr>
                <w:rFonts w:ascii="Aptos" w:hAnsi="Aptos" w:eastAsia="Aptos"/>
                <w:b/>
                <w:color w:val="183B56"/>
                <w:sz w:val="16"/>
              </w:rPr>
              <w:t xml:space="preserve">Owner / target date:  </w:t>
            </w:r>
          </w:p>
          <w:p>
            <w:pPr>
              <w:spacing w:before="20" w:after="0"/>
            </w:pPr>
            <w:r>
              <w:rPr>
                <w:rFonts w:ascii="Aptos" w:hAnsi="Aptos" w:eastAsia="Aptos"/>
                <w:b/>
                <w:color w:val="183B56"/>
                <w:sz w:val="16"/>
              </w:rPr>
              <w:t xml:space="preserve">How we will verify:  </w:t>
            </w:r>
          </w:p>
        </w:tc>
        <w:tc>
          <w:tcPr>
            <w:tcW w:type="dxa" w:w="4800"/>
            <w:tcBorders>
              <w:top w:val="single" w:sz="4" w:space="0" w:color="D6E1E6"/>
              <w:left w:val="single" w:sz="4" w:space="0" w:color="D6E1E6"/>
              <w:bottom w:val="single" w:sz="4" w:space="0" w:color="D6E1E6"/>
              <w:right w:val="single" w:sz="4" w:space="0" w:color="D6E1E6"/>
            </w:tcBorders>
            <w:tcMar>
              <w:top w:w="80" w:type="dxa"/>
              <w:start w:w="90" w:type="dxa"/>
              <w:bottom w:w="80" w:type="dxa"/>
              <w:end w:w="90" w:type="dxa"/>
            </w:tcMar>
            <w:shd w:fill="F6F8F9" w:val="clear"/>
            <w:vAlign w:val="top"/>
          </w:tcPr>
          <w:p>
            <w:pPr>
              <w:spacing w:before="0" w:after="0" w:line="240" w:lineRule="auto"/>
            </w:pPr>
            <w:r/>
            <w:r>
              <w:rPr>
                <w:rFonts w:ascii="Aptos" w:hAnsi="Aptos" w:eastAsia="Aptos"/>
                <w:b/>
                <w:color w:val="2B6F73"/>
                <w:sz w:val="18"/>
              </w:rPr>
              <w:t>Priority 2</w:t>
            </w:r>
          </w:p>
          <w:p>
            <w:pPr>
              <w:spacing w:before="20" w:after="0"/>
            </w:pPr>
            <w:r>
              <w:rPr>
                <w:rFonts w:ascii="Aptos" w:hAnsi="Aptos" w:eastAsia="Aptos"/>
                <w:b/>
                <w:color w:val="183B56"/>
                <w:sz w:val="16"/>
              </w:rPr>
              <w:t xml:space="preserve">Supply / resource:  </w:t>
            </w:r>
          </w:p>
          <w:p>
            <w:pPr>
              <w:spacing w:before="20" w:after="0"/>
            </w:pPr>
            <w:r>
              <w:rPr>
                <w:rFonts w:ascii="Aptos" w:hAnsi="Aptos" w:eastAsia="Aptos"/>
                <w:b/>
                <w:color w:val="183B56"/>
                <w:sz w:val="16"/>
              </w:rPr>
              <w:t xml:space="preserve">Action:  </w:t>
            </w:r>
          </w:p>
          <w:p>
            <w:pPr>
              <w:spacing w:before="20" w:after="0"/>
            </w:pPr>
            <w:r>
              <w:rPr>
                <w:rFonts w:ascii="Aptos" w:hAnsi="Aptos" w:eastAsia="Aptos"/>
                <w:b/>
                <w:color w:val="183B56"/>
                <w:sz w:val="16"/>
              </w:rPr>
              <w:t xml:space="preserve">Owner / target date:  </w:t>
            </w:r>
          </w:p>
          <w:p>
            <w:pPr>
              <w:spacing w:before="20" w:after="0"/>
            </w:pPr>
            <w:r>
              <w:rPr>
                <w:rFonts w:ascii="Aptos" w:hAnsi="Aptos" w:eastAsia="Aptos"/>
                <w:b/>
                <w:color w:val="183B56"/>
                <w:sz w:val="16"/>
              </w:rPr>
              <w:t xml:space="preserve">How we will verify:  </w:t>
            </w:r>
          </w:p>
        </w:tc>
        <w:tc>
          <w:tcPr>
            <w:tcW w:type="dxa" w:w="4801"/>
            <w:tcBorders>
              <w:top w:val="single" w:sz="4" w:space="0" w:color="D6E1E6"/>
              <w:left w:val="single" w:sz="4" w:space="0" w:color="D6E1E6"/>
              <w:bottom w:val="single" w:sz="4" w:space="0" w:color="D6E1E6"/>
              <w:right w:val="single" w:sz="4" w:space="0" w:color="D6E1E6"/>
            </w:tcBorders>
            <w:tcMar>
              <w:top w:w="80" w:type="dxa"/>
              <w:start w:w="90" w:type="dxa"/>
              <w:bottom w:w="80" w:type="dxa"/>
              <w:end w:w="90" w:type="dxa"/>
            </w:tcMar>
            <w:shd w:fill="F6F8F9" w:val="clear"/>
            <w:vAlign w:val="top"/>
          </w:tcPr>
          <w:p>
            <w:pPr>
              <w:spacing w:before="0" w:after="0" w:line="240" w:lineRule="auto"/>
            </w:pPr>
            <w:r/>
            <w:r>
              <w:rPr>
                <w:rFonts w:ascii="Aptos" w:hAnsi="Aptos" w:eastAsia="Aptos"/>
                <w:b/>
                <w:color w:val="2B6F73"/>
                <w:sz w:val="18"/>
              </w:rPr>
              <w:t>Priority 3</w:t>
            </w:r>
          </w:p>
          <w:p>
            <w:pPr>
              <w:spacing w:before="20" w:after="0"/>
            </w:pPr>
            <w:r>
              <w:rPr>
                <w:rFonts w:ascii="Aptos" w:hAnsi="Aptos" w:eastAsia="Aptos"/>
                <w:b/>
                <w:color w:val="183B56"/>
                <w:sz w:val="16"/>
              </w:rPr>
              <w:t xml:space="preserve">Supply / resource:  </w:t>
            </w:r>
          </w:p>
          <w:p>
            <w:pPr>
              <w:spacing w:before="20" w:after="0"/>
            </w:pPr>
            <w:r>
              <w:rPr>
                <w:rFonts w:ascii="Aptos" w:hAnsi="Aptos" w:eastAsia="Aptos"/>
                <w:b/>
                <w:color w:val="183B56"/>
                <w:sz w:val="16"/>
              </w:rPr>
              <w:t xml:space="preserve">Action:  </w:t>
            </w:r>
          </w:p>
          <w:p>
            <w:pPr>
              <w:spacing w:before="20" w:after="0"/>
            </w:pPr>
            <w:r>
              <w:rPr>
                <w:rFonts w:ascii="Aptos" w:hAnsi="Aptos" w:eastAsia="Aptos"/>
                <w:b/>
                <w:color w:val="183B56"/>
                <w:sz w:val="16"/>
              </w:rPr>
              <w:t xml:space="preserve">Owner / target date:  </w:t>
            </w:r>
          </w:p>
          <w:p>
            <w:pPr>
              <w:spacing w:before="20" w:after="0"/>
            </w:pPr>
            <w:r>
              <w:rPr>
                <w:rFonts w:ascii="Aptos" w:hAnsi="Aptos" w:eastAsia="Aptos"/>
                <w:b/>
                <w:color w:val="183B56"/>
                <w:sz w:val="16"/>
              </w:rPr>
              <w:t xml:space="preserve">How we will verify:  </w:t>
            </w:r>
          </w:p>
        </w:tc>
      </w:tr>
    </w:tbl>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648" w:right="720" w:bottom="648"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1170432" cy="36576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1170432" cy="36576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Supplier &amp; Critical Resource Register</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pPr>
      <w:spacing w:after="80"/>
    </w:pPr>
    <w:rPr>
      <w:rFonts w:ascii="Aptos" w:hAnsi="Aptos"/>
      <w:b/>
      <w:color w:val="183B56"/>
      <w:sz w:val="44"/>
    </w:rPr>
  </w:style>
  <w:style w:type="paragraph" w:customStyle="1" w:styleId="ToolkitKicker">
    <w:name w:val="ToolkitKicker"/>
    <w:pPr>
      <w:spacing w:after="80"/>
    </w:pPr>
    <w:rPr>
      <w:rFonts w:ascii="Aptos" w:hAnsi="Aptos"/>
      <w:b/>
      <w:color w:val="2B6F73"/>
      <w:sz w:val="16"/>
    </w:rPr>
  </w:style>
  <w:style w:type="paragraph" w:customStyle="1" w:styleId="ToolkitSub">
    <w:name w:val="ToolkitSub"/>
    <w:pPr>
      <w:spacing w:after="80"/>
    </w:pPr>
    <w:rPr>
      <w:rFonts w:ascii="Aptos" w:hAnsi="Aptos"/>
      <w:b w:val="0"/>
      <w:color w:val="6B747A"/>
      <w:sz w:val="20"/>
    </w:rPr>
  </w:style>
  <w:style w:type="paragraph" w:customStyle="1" w:styleId="SectionHead">
    <w:name w:val="SectionHead"/>
    <w:pPr>
      <w:spacing w:after="80"/>
    </w:pPr>
    <w:rPr>
      <w:rFonts w:ascii="Aptos" w:hAnsi="Aptos"/>
      <w:b/>
      <w:color w:val="183B56"/>
      <w:sz w:val="26"/>
    </w:rPr>
  </w:style>
  <w:style w:type="paragraph" w:customStyle="1" w:styleId="SmallHead">
    <w:name w:val="SmallHead"/>
    <w:pPr>
      <w:spacing w:after="80"/>
    </w:pPr>
    <w:rPr>
      <w:rFonts w:ascii="Aptos" w:hAnsi="Aptos"/>
      <w:b/>
      <w:color w:val="2B6F73"/>
      <w:sz w:val="18"/>
    </w:rPr>
  </w:style>
  <w:style w:type="paragraph" w:customStyle="1" w:styleId="Tiny">
    <w:name w:val="Tiny"/>
    <w:pPr>
      <w:spacing w:after="80"/>
    </w:pPr>
    <w:rPr>
      <w:rFonts w:ascii="Aptos" w:hAnsi="Aptos"/>
      <w:b w:val="0"/>
      <w:color w:val="6B747A"/>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&amp; Critical Resource Continuity Register</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