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200"/>
        <w:gridCol w:w="7200"/>
      </w:tblGrid>
      <w:tr>
        <w:tc>
          <w:tcPr>
            <w:tcW w:type="dxa" w:w="10296"/>
            <w:tcMar>
              <w:top w:w="0" w:type="dxa"/>
              <w:start w:w="0" w:type="dxa"/>
              <w:bottom w:w="0" w:type="dxa"/>
              <w:end w:w="80" w:type="dxa"/>
            </w:tcMar>
            <w:vAlign w:val="center"/>
          </w:tcPr>
          <w:p>
            <w:pPr>
              <w:pStyle w:val="ToolkitKicker"/>
              <w:keepNext/>
              <w:spacing w:before="0" w:after="20" w:line="240" w:lineRule="auto"/>
              <w:jc w:val="center"/>
            </w:pPr>
            <w:r>
              <w:rPr>
                <w:rFonts w:ascii="Aptos" w:hAnsi="Aptos"/>
              </w:rPr>
              <w:t>BUSINESS RESILIENCE STARTER KIT</w:t>
            </w:r>
          </w:p>
          <w:p>
            <w:pPr>
              <w:pStyle w:val="ToolkitTitle"/>
              <w:keepNext/>
              <w:spacing w:before="0" w:after="40" w:line="240" w:lineRule="auto"/>
              <w:jc w:val="center"/>
            </w:pPr>
            <w:r>
              <w:rPr>
                <w:rFonts w:ascii="Aptos" w:hAnsi="Aptos"/>
              </w:rPr>
              <w:t>Business Continuity Event &amp; Decision Log Pack</w:t>
            </w:r>
          </w:p>
          <w:p>
            <w:pPr>
              <w:pStyle w:val="ToolkitSub"/>
              <w:keepNext/>
              <w:spacing w:before="0" w:after="0" w:line="240" w:lineRule="auto"/>
              <w:jc w:val="center"/>
            </w:pPr>
            <w:r>
              <w:rPr>
                <w:rFonts w:ascii="Aptos" w:hAnsi="Aptos"/>
              </w:rPr>
              <w:t>Disaster Risk Management Authority | The Bahamas</w:t>
            </w:r>
          </w:p>
          <w:p>
            <w:pPr>
              <w:pStyle w:val="Tiny"/>
              <w:keepNext/>
              <w:spacing w:before="0" w:after="0" w:line="240" w:lineRule="auto"/>
              <w:jc w:val="center"/>
            </w:pPr>
            <w:r>
              <w:rPr>
                <w:rFonts w:ascii="Aptos" w:hAnsi="Aptos"/>
              </w:rPr>
              <w:t>Derived from the DRM Authority Business Continuity Planning Workbook</w:t>
            </w:r>
          </w:p>
        </w:tc>
        <w:tc>
          <w:tcPr>
            <w:tcW w:type="dxa" w:w="4031"/>
            <w:tcMar>
              <w:top w:w="0" w:type="dxa"/>
              <w:start w:w="80" w:type="dxa"/>
              <w:bottom w:w="0" w:type="dxa"/>
              <w:end w:w="0" w:type="dxa"/>
            </w:tcMar>
            <w:vAlign w:val="center"/>
          </w:tcPr>
          <w:p>
            <w:pPr>
              <w:keepNext/>
              <w:spacing w:before="0" w:after="0"/>
              <w:jc w:val="right"/>
            </w:pPr>
            <w:r>
              <w:drawing>
                <wp:inline xmlns:a="http://schemas.openxmlformats.org/drawingml/2006/main" xmlns:pic="http://schemas.openxmlformats.org/drawingml/2006/picture">
                  <wp:extent cx="2148840" cy="671512"/>
                  <wp:docPr id="1" name="Picture 1"/>
                  <wp:cNvGraphicFramePr>
                    <a:graphicFrameLocks noChangeAspect="1"/>
                  </wp:cNvGraphicFramePr>
                  <a:graphic>
                    <a:graphicData uri="http://schemas.openxmlformats.org/drawingml/2006/picture">
                      <pic:pic>
                        <pic:nvPicPr>
                          <pic:cNvPr id="0" name="A_DRMLogo-FULL.png"/>
                          <pic:cNvPicPr/>
                        </pic:nvPicPr>
                        <pic:blipFill>
                          <a:blip r:embed="rId10"/>
                          <a:stretch>
                            <a:fillRect/>
                          </a:stretch>
                        </pic:blipFill>
                        <pic:spPr>
                          <a:xfrm>
                            <a:off x="0" y="0"/>
                            <a:ext cx="2148840" cy="671512"/>
                          </a:xfrm>
                          <a:prstGeom prst="rect"/>
                        </pic:spPr>
                      </pic:pic>
                    </a:graphicData>
                  </a:graphic>
                </wp:inline>
              </w:drawing>
            </w:r>
          </w:p>
        </w:tc>
      </w:tr>
    </w:tbl>
    <w:tbl>
      <w:tblPr>
        <w:tblW w:type="auto" w:w="0"/>
        <w:jc w:val="center"/>
        <w:tblLayout w:type="fixed"/>
        <w:tblLook w:firstColumn="1" w:firstRow="1" w:lastColumn="0" w:lastRow="0" w:noHBand="0" w:noVBand="1" w:val="04A0"/>
      </w:tblPr>
      <w:tblGrid>
        <w:gridCol w:w="14400"/>
      </w:tblGrid>
      <w:tr>
        <w:tc>
          <w:tcPr>
            <w:tcW w:type="dxa" w:w="14400"/>
            <w:shd w:fill="EAF1F4"/>
            <w:tcMar>
              <w:top w:w="90" w:type="dxa"/>
              <w:start w:w="110" w:type="dxa"/>
              <w:bottom w:w="90" w:type="dxa"/>
              <w:end w:w="110" w:type="dxa"/>
            </w:tcMar>
            <w:vAlign w:val="top"/>
          </w:tcPr>
          <w:p>
            <w:pPr>
              <w:spacing w:before="0" w:after="0" w:line="240" w:lineRule="auto"/>
            </w:pPr>
            <w:r>
              <w:rPr>
                <w:rFonts w:ascii="Aptos" w:hAnsi="Aptos"/>
              </w:rPr>
            </w:r>
            <w:r>
              <w:rPr>
                <w:rFonts w:ascii="Aptos" w:hAnsi="Aptos"/>
                <w:b/>
                <w:i w:val="0"/>
                <w:color w:val="183B56"/>
                <w:sz w:val="17"/>
              </w:rPr>
              <w:t>What this pack helps you do</w:t>
            </w:r>
            <w:r>
              <w:rPr>
                <w:rFonts w:ascii="Aptos" w:hAnsi="Aptos"/>
                <w:b w:val="0"/>
                <w:i w:val="0"/>
                <w:color w:val="1F2B33"/>
                <w:sz w:val="16"/>
              </w:rPr>
              <w:br/>
              <w:t>Create a clear, time-stamped record of what happened during a disruption, which decisions were made, who authorized them, what actions remain outstanding and what emergency costs or commitments were incurred. Use the records during continuity operations, recovery, insurance or regulatory follow-up, management review and future plan improvement.</w:t>
            </w:r>
          </w:p>
        </w:tc>
      </w:tr>
    </w:tbl>
    <w:p>
      <w:pPr>
        <w:keepNext w:val="0"/>
        <w:spacing w:before="0" w:after="20" w:line="240" w:lineRule="auto"/>
      </w:pPr>
    </w:p>
    <w:tbl>
      <w:tblPr>
        <w:tblW w:type="auto" w:w="0"/>
        <w:jc w:val="center"/>
        <w:tblLayout w:type="fixed"/>
        <w:tblLook w:firstColumn="1" w:firstRow="1" w:lastColumn="0" w:lastRow="0" w:noHBand="0" w:noVBand="1" w:val="04A0"/>
      </w:tblPr>
      <w:tblGrid>
        <w:gridCol w:w="7200"/>
        <w:gridCol w:w="7200"/>
      </w:tblGrid>
      <w:tr>
        <w:tc>
          <w:tcPr>
            <w:tcW w:type="dxa" w:w="7200"/>
            <w:tcBorders>
              <w:top w:val="single" w:sz="0" w:space="0" w:color="F6F8F9"/>
              <w:start w:val="single" w:sz="0" w:space="0" w:color="F6F8F9"/>
              <w:bottom w:val="single" w:sz="0" w:space="0" w:color="F6F8F9"/>
              <w:end w:val="single" w:sz="0" w:space="0" w:color="F6F8F9"/>
            </w:tcBorders>
            <w:shd w:fill="F6F8F9"/>
            <w:tcMar>
              <w:top w:w="90" w:type="dxa"/>
              <w:start w:w="110" w:type="dxa"/>
              <w:bottom w:w="90" w:type="dxa"/>
              <w:end w:w="110" w:type="dxa"/>
            </w:tcMar>
            <w:vAlign w:val="top"/>
          </w:tcPr>
          <w:p>
            <w:pPr>
              <w:spacing w:before="0" w:after="0" w:line="240" w:lineRule="auto"/>
            </w:pPr>
            <w:r>
              <w:rPr>
                <w:rFonts w:ascii="Aptos" w:hAnsi="Aptos"/>
              </w:rPr>
            </w:r>
            <w:r>
              <w:rPr>
                <w:rFonts w:ascii="Aptos" w:hAnsi="Aptos"/>
                <w:b/>
                <w:i w:val="0"/>
                <w:color w:val="2B6F73"/>
                <w:sz w:val="17"/>
              </w:rPr>
              <w:t>Use this pack when...</w:t>
            </w:r>
          </w:p>
          <w:p>
            <w:pPr>
              <w:spacing w:before="0" w:after="0" w:line="240" w:lineRule="auto"/>
              <w:ind w:left="115" w:hanging="115"/>
            </w:pPr>
            <w:r>
              <w:rPr>
                <w:rFonts w:ascii="Aptos" w:hAnsi="Aptos"/>
                <w:b w:val="0"/>
                <w:i w:val="0"/>
                <w:color w:val="1F2B33"/>
                <w:sz w:val="16"/>
              </w:rPr>
              <w:t>- the Business Continuity Plan or selected continuity arrangements are activated;</w:t>
            </w:r>
          </w:p>
          <w:p>
            <w:pPr>
              <w:spacing w:before="0" w:after="0" w:line="240" w:lineRule="auto"/>
              <w:ind w:left="115" w:hanging="115"/>
            </w:pPr>
            <w:r>
              <w:rPr>
                <w:rFonts w:ascii="Aptos" w:hAnsi="Aptos"/>
                <w:b w:val="0"/>
                <w:i w:val="0"/>
                <w:color w:val="1F2B33"/>
                <w:sz w:val="16"/>
              </w:rPr>
              <w:t>- normal operations are disrupted and facts, decisions and actions are changing quickly;</w:t>
            </w:r>
          </w:p>
          <w:p>
            <w:pPr>
              <w:spacing w:before="0" w:after="0" w:line="240" w:lineRule="auto"/>
              <w:ind w:left="115" w:hanging="115"/>
            </w:pPr>
            <w:r>
              <w:rPr>
                <w:rFonts w:ascii="Aptos" w:hAnsi="Aptos"/>
                <w:b w:val="0"/>
                <w:i w:val="0"/>
                <w:color w:val="1F2B33"/>
                <w:sz w:val="16"/>
              </w:rPr>
              <w:t>- several people are making or implementing decisions and a common record is needed;</w:t>
            </w:r>
          </w:p>
          <w:p>
            <w:pPr>
              <w:spacing w:before="0" w:after="0" w:line="240" w:lineRule="auto"/>
              <w:ind w:left="115" w:hanging="115"/>
            </w:pPr>
            <w:r>
              <w:rPr>
                <w:rFonts w:ascii="Aptos" w:hAnsi="Aptos"/>
                <w:b w:val="0"/>
                <w:i w:val="0"/>
                <w:color w:val="1F2B33"/>
                <w:sz w:val="16"/>
              </w:rPr>
              <w:t>- emergency expenditure or supplier commitments must be tracked; or</w:t>
            </w:r>
          </w:p>
          <w:p>
            <w:pPr>
              <w:spacing w:before="0" w:after="0" w:line="240" w:lineRule="auto"/>
              <w:ind w:left="115" w:hanging="115"/>
            </w:pPr>
            <w:r>
              <w:rPr>
                <w:rFonts w:ascii="Aptos" w:hAnsi="Aptos"/>
                <w:b w:val="0"/>
                <w:i w:val="0"/>
                <w:color w:val="1F2B33"/>
                <w:sz w:val="16"/>
              </w:rPr>
              <w:t>- the business needs evidence for handover, insurance, regulatory, financial or after-action purposes.</w:t>
            </w:r>
          </w:p>
        </w:tc>
        <w:tc>
          <w:tcPr>
            <w:tcW w:type="dxa" w:w="7200"/>
            <w:tcBorders>
              <w:top w:val="single" w:sz="0" w:space="0" w:color="F6F8F9"/>
              <w:start w:val="single" w:sz="0" w:space="0" w:color="F6F8F9"/>
              <w:bottom w:val="single" w:sz="0" w:space="0" w:color="F6F8F9"/>
              <w:end w:val="single" w:sz="0" w:space="0" w:color="F6F8F9"/>
            </w:tcBorders>
            <w:shd w:fill="F6F8F9"/>
            <w:tcMar>
              <w:top w:w="90" w:type="dxa"/>
              <w:start w:w="110" w:type="dxa"/>
              <w:bottom w:w="90" w:type="dxa"/>
              <w:end w:w="110" w:type="dxa"/>
            </w:tcMar>
            <w:vAlign w:val="top"/>
          </w:tcPr>
          <w:p>
            <w:pPr>
              <w:spacing w:before="0" w:after="0" w:line="240" w:lineRule="auto"/>
            </w:pPr>
            <w:r>
              <w:rPr>
                <w:rFonts w:ascii="Aptos" w:hAnsi="Aptos"/>
              </w:rPr>
            </w:r>
            <w:r>
              <w:rPr>
                <w:rFonts w:ascii="Aptos" w:hAnsi="Aptos"/>
                <w:b/>
                <w:i w:val="0"/>
                <w:color w:val="2B6F73"/>
                <w:sz w:val="17"/>
              </w:rPr>
              <w:t>How to use the pack</w:t>
            </w:r>
          </w:p>
          <w:p>
            <w:pPr>
              <w:spacing w:before="0" w:after="0" w:line="240" w:lineRule="auto"/>
              <w:ind w:left="115" w:hanging="115"/>
            </w:pPr>
            <w:r>
              <w:rPr>
                <w:rFonts w:ascii="Aptos" w:hAnsi="Aptos"/>
                <w:b w:val="0"/>
                <w:i w:val="0"/>
                <w:color w:val="1F2B33"/>
                <w:sz w:val="16"/>
              </w:rPr>
              <w:t>- Open one controlled record for each continuity event and assign a primary log keeper and alternate.</w:t>
            </w:r>
          </w:p>
          <w:p>
            <w:pPr>
              <w:spacing w:before="0" w:after="0" w:line="240" w:lineRule="auto"/>
              <w:ind w:left="115" w:hanging="115"/>
            </w:pPr>
            <w:r>
              <w:rPr>
                <w:rFonts w:ascii="Aptos" w:hAnsi="Aptos"/>
                <w:b w:val="0"/>
                <w:i w:val="0"/>
                <w:color w:val="1F2B33"/>
                <w:sz w:val="16"/>
              </w:rPr>
              <w:t>- Record verified developments as they occur; distinguish facts from assumptions and unconfirmed reports.</w:t>
            </w:r>
          </w:p>
          <w:p>
            <w:pPr>
              <w:spacing w:before="0" w:after="0" w:line="240" w:lineRule="auto"/>
              <w:ind w:left="115" w:hanging="115"/>
            </w:pPr>
            <w:r>
              <w:rPr>
                <w:rFonts w:ascii="Aptos" w:hAnsi="Aptos"/>
                <w:b w:val="0"/>
                <w:i w:val="0"/>
                <w:color w:val="1F2B33"/>
                <w:sz w:val="16"/>
              </w:rPr>
              <w:t>- Give decisions, actions and expenditures unique reference numbers and cross-reference related entries.</w:t>
            </w:r>
          </w:p>
          <w:p>
            <w:pPr>
              <w:spacing w:before="0" w:after="0" w:line="240" w:lineRule="auto"/>
              <w:ind w:left="115" w:hanging="115"/>
            </w:pPr>
            <w:r>
              <w:rPr>
                <w:rFonts w:ascii="Aptos" w:hAnsi="Aptos"/>
                <w:b w:val="0"/>
                <w:i w:val="0"/>
                <w:color w:val="1F2B33"/>
                <w:sz w:val="16"/>
              </w:rPr>
              <w:t>- Review the logs at each handover and before deactivation so unresolved items are not lost.</w:t>
            </w:r>
          </w:p>
          <w:p>
            <w:pPr>
              <w:spacing w:before="0" w:after="0" w:line="240" w:lineRule="auto"/>
              <w:ind w:left="115" w:hanging="115"/>
            </w:pPr>
            <w:r>
              <w:rPr>
                <w:rFonts w:ascii="Aptos" w:hAnsi="Aptos"/>
                <w:b w:val="0"/>
                <w:i w:val="0"/>
                <w:color w:val="1F2B33"/>
                <w:sz w:val="16"/>
              </w:rPr>
              <w:t>- Store the completed records securely with the Business Continuity Plan and supporting evidence.</w:t>
            </w:r>
          </w:p>
        </w:tc>
      </w:tr>
    </w:tbl>
    <w:p>
      <w:pPr>
        <w:keepNext w:val="0"/>
        <w:spacing w:before="0" w:after="20" w:line="240" w:lineRule="auto"/>
      </w:pPr>
    </w:p>
    <w:p>
      <w:pPr>
        <w:pStyle w:val="SmallHead"/>
        <w:keepNext/>
        <w:spacing w:before="20" w:after="40" w:line="240" w:lineRule="auto"/>
      </w:pPr>
      <w:r>
        <w:rPr>
          <w:rFonts w:ascii="Aptos" w:hAnsi="Aptos"/>
        </w:rPr>
        <w:t>Recordkeeping principles</w:t>
      </w:r>
    </w:p>
    <w:tbl>
      <w:tblPr>
        <w:tblW w:type="auto" w:w="0"/>
        <w:jc w:val="center"/>
        <w:tblLayout w:type="fixed"/>
        <w:tblLook w:firstColumn="1" w:firstRow="1" w:lastColumn="0" w:lastRow="0" w:noHBand="0" w:noVBand="1" w:val="04A0"/>
      </w:tblPr>
      <w:tblGrid>
        <w:gridCol w:w="2880"/>
        <w:gridCol w:w="2880"/>
        <w:gridCol w:w="2880"/>
        <w:gridCol w:w="2880"/>
        <w:gridCol w:w="2880"/>
      </w:tblGrid>
      <w:tr>
        <w:trPr>
          <w:cantSplit/>
          <w:trHeight w:val="950" w:hRule="atLeast"/>
        </w:trPr>
        <w:tc>
          <w:tcPr>
            <w:tcW w:type="dxa" w:w="2880"/>
            <w:shd w:fill="EAF1F4"/>
            <w:tcMar>
              <w:top w:w="80" w:type="dxa"/>
              <w:start w:w="85" w:type="dxa"/>
              <w:bottom w:w="80" w:type="dxa"/>
              <w:end w:w="8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2B6F73"/>
                <w:sz w:val="15"/>
              </w:rPr>
              <w:t>TIMELY</w:t>
            </w:r>
            <w:r>
              <w:rPr>
                <w:rFonts w:ascii="Aptos" w:hAnsi="Aptos"/>
                <w:b w:val="0"/>
                <w:i w:val="0"/>
                <w:color w:val="1F2B33"/>
                <w:sz w:val="14"/>
              </w:rPr>
              <w:br/>
              <w:t>Record the time the event occurred and the time the information was entered.</w:t>
            </w:r>
          </w:p>
        </w:tc>
        <w:tc>
          <w:tcPr>
            <w:tcW w:type="dxa" w:w="2880"/>
            <w:shd w:fill="EAF1F4"/>
            <w:tcMar>
              <w:top w:w="80" w:type="dxa"/>
              <w:start w:w="85" w:type="dxa"/>
              <w:bottom w:w="80" w:type="dxa"/>
              <w:end w:w="8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2B6F73"/>
                <w:sz w:val="15"/>
              </w:rPr>
              <w:t>FACTUAL</w:t>
            </w:r>
            <w:r>
              <w:rPr>
                <w:rFonts w:ascii="Aptos" w:hAnsi="Aptos"/>
                <w:b w:val="0"/>
                <w:i w:val="0"/>
                <w:color w:val="1F2B33"/>
                <w:sz w:val="14"/>
              </w:rPr>
              <w:br/>
              <w:t>State what is known, identify the source and mark information that is unverified.</w:t>
            </w:r>
          </w:p>
        </w:tc>
        <w:tc>
          <w:tcPr>
            <w:tcW w:type="dxa" w:w="2880"/>
            <w:shd w:fill="EAF1F4"/>
            <w:tcMar>
              <w:top w:w="80" w:type="dxa"/>
              <w:start w:w="85" w:type="dxa"/>
              <w:bottom w:w="80" w:type="dxa"/>
              <w:end w:w="8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2B6F73"/>
                <w:sz w:val="15"/>
              </w:rPr>
              <w:t>TRACEABLE</w:t>
            </w:r>
            <w:r>
              <w:rPr>
                <w:rFonts w:ascii="Aptos" w:hAnsi="Aptos"/>
                <w:b w:val="0"/>
                <w:i w:val="0"/>
                <w:color w:val="1F2B33"/>
                <w:sz w:val="14"/>
              </w:rPr>
              <w:br/>
              <w:t>Use entry numbers and references so decisions, actions and evidence can be linked.</w:t>
            </w:r>
          </w:p>
        </w:tc>
        <w:tc>
          <w:tcPr>
            <w:tcW w:type="dxa" w:w="2880"/>
            <w:shd w:fill="EAF1F4"/>
            <w:tcMar>
              <w:top w:w="80" w:type="dxa"/>
              <w:start w:w="85" w:type="dxa"/>
              <w:bottom w:w="80" w:type="dxa"/>
              <w:end w:w="8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2B6F73"/>
                <w:sz w:val="15"/>
              </w:rPr>
              <w:t>AUTHORIZED</w:t>
            </w:r>
            <w:r>
              <w:rPr>
                <w:rFonts w:ascii="Aptos" w:hAnsi="Aptos"/>
                <w:b w:val="0"/>
                <w:i w:val="0"/>
                <w:color w:val="1F2B33"/>
                <w:sz w:val="14"/>
              </w:rPr>
              <w:br/>
              <w:t>Record who approved a decision or expenditure and any limit or condition.</w:t>
            </w:r>
          </w:p>
        </w:tc>
        <w:tc>
          <w:tcPr>
            <w:tcW w:type="dxa" w:w="2880"/>
            <w:shd w:fill="EAF1F4"/>
            <w:tcMar>
              <w:top w:w="80" w:type="dxa"/>
              <w:start w:w="85" w:type="dxa"/>
              <w:bottom w:w="80" w:type="dxa"/>
              <w:end w:w="8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2B6F73"/>
                <w:sz w:val="15"/>
              </w:rPr>
              <w:t>SECURE</w:t>
            </w:r>
            <w:r>
              <w:rPr>
                <w:rFonts w:ascii="Aptos" w:hAnsi="Aptos"/>
                <w:b w:val="0"/>
                <w:i w:val="0"/>
                <w:color w:val="1F2B33"/>
                <w:sz w:val="14"/>
              </w:rPr>
              <w:br/>
              <w:t>Protect employee, financial, customer, system and other sensitive information.</w:t>
            </w:r>
          </w:p>
        </w:tc>
      </w:tr>
    </w:tbl>
    <w:p>
      <w:pPr>
        <w:keepNext w:val="0"/>
        <w:spacing w:before="0" w:after="20" w:line="240" w:lineRule="auto"/>
      </w:pPr>
    </w:p>
    <w:tbl>
      <w:tblPr>
        <w:tblW w:type="auto" w:w="0"/>
        <w:jc w:val="center"/>
        <w:tblLayout w:type="fixed"/>
        <w:tblLook w:firstColumn="1" w:firstRow="1" w:lastColumn="0" w:lastRow="0" w:noHBand="0" w:noVBand="1" w:val="04A0"/>
      </w:tblPr>
      <w:tblGrid>
        <w:gridCol w:w="14400"/>
      </w:tblGrid>
      <w:tr>
        <w:tc>
          <w:tcPr>
            <w:tcW w:type="dxa" w:w="14400"/>
            <w:shd w:fill="F7E8B2"/>
            <w:tcMar>
              <w:top w:w="85" w:type="dxa"/>
              <w:start w:w="110" w:type="dxa"/>
              <w:bottom w:w="85" w:type="dxa"/>
              <w:end w:w="110" w:type="dxa"/>
            </w:tcMar>
            <w:tcBorders>
              <w:top w:val="single" w:sz="0" w:space="0" w:color="F7E8B2"/>
              <w:start w:val="single" w:sz="0" w:space="0" w:color="F7E8B2"/>
              <w:bottom w:val="single" w:sz="0" w:space="0" w:color="F7E8B2"/>
              <w:end w:val="single" w:sz="0" w:space="0" w:color="F7E8B2"/>
            </w:tcBorders>
          </w:tcPr>
          <w:p>
            <w:pPr>
              <w:spacing w:before="0" w:after="0" w:line="240" w:lineRule="auto"/>
            </w:pPr>
            <w:r>
              <w:rPr>
                <w:rFonts w:ascii="Aptos" w:hAnsi="Aptos"/>
              </w:rPr>
            </w:r>
            <w:r>
              <w:rPr>
                <w:rFonts w:ascii="Aptos" w:hAnsi="Aptos"/>
                <w:b/>
                <w:i w:val="0"/>
                <w:color w:val="183B56"/>
                <w:sz w:val="17"/>
              </w:rPr>
              <w:t>Important</w:t>
            </w:r>
            <w:r>
              <w:rPr>
                <w:rFonts w:ascii="Aptos" w:hAnsi="Aptos"/>
                <w:b w:val="0"/>
                <w:i w:val="0"/>
                <w:color w:val="1F2B33"/>
                <w:sz w:val="16"/>
              </w:rPr>
              <w:br/>
              <w:t>This pack supports operational recordkeeping; it does not replace formal accounting, payroll, insurance, legal, regulatory, health and safety or human-resources records. Use the Communication Log in the Business Continuity Communications Pack for detailed audience, message, channel and next-update records. Do not record passwords, PINs or other security credentials in these logs.</w:t>
            </w:r>
          </w:p>
        </w:tc>
      </w:tr>
    </w:tbl>
    <w:p>
      <w:pPr>
        <w:keepNext w:val="0"/>
        <w:spacing w:before="0" w:after="20" w:line="240" w:lineRule="auto"/>
      </w:pPr>
    </w:p>
    <w:p>
      <w:pPr>
        <w:pageBreakBefore w:val="1"/>
        <w:spacing w:after="0"/>
      </w:pPr>
    </w:p>
    <w:p>
      <w:pPr>
        <w:pStyle w:val="SectionHead"/>
        <w:keepNext/>
        <w:spacing w:before="0" w:after="60" w:line="240" w:lineRule="auto"/>
      </w:pPr>
      <w:r>
        <w:rPr>
          <w:rFonts w:ascii="Aptos" w:hAnsi="Aptos"/>
        </w:rPr>
        <w:t>1. Event Record &amp; Log Control</w:t>
      </w:r>
    </w:p>
    <w:p>
      <w:pPr>
        <w:keepNext w:val="0"/>
        <w:spacing w:before="0" w:after="80" w:line="240" w:lineRule="auto"/>
      </w:pPr>
      <w:r>
        <w:rPr>
          <w:rFonts w:ascii="Aptos" w:hAnsi="Aptos"/>
        </w:rPr>
        <w:t>Open one controlled record at the beginning of each disruption or exercise. Establish the event reference, activation status, record custodians and secure storage arrangements before entries begin.</w:t>
      </w:r>
    </w:p>
    <w:p>
      <w:pPr>
        <w:pStyle w:val="SmallHead"/>
        <w:keepNext/>
        <w:spacing w:before="20" w:after="40" w:line="240" w:lineRule="auto"/>
      </w:pPr>
      <w:r>
        <w:rPr>
          <w:rFonts w:ascii="Aptos" w:hAnsi="Aptos"/>
        </w:rPr>
        <w:t>Event identification</w:t>
      </w:r>
    </w:p>
    <w:tbl>
      <w:tblPr>
        <w:tblW w:type="auto" w:w="0"/>
        <w:jc w:val="center"/>
        <w:tblLayout w:type="fixed"/>
        <w:tblLook w:firstColumn="1" w:firstRow="1" w:lastColumn="0" w:lastRow="0" w:noHBand="0" w:noVBand="1" w:val="04A0"/>
      </w:tblPr>
      <w:tblGrid>
        <w:gridCol w:w="3600"/>
        <w:gridCol w:w="3600"/>
        <w:gridCol w:w="3600"/>
        <w:gridCol w:w="3600"/>
      </w:tblGrid>
      <w:tr>
        <w:trPr>
          <w:cantSplit/>
          <w:trHeight w:val="518" w:hRule="atLeast"/>
        </w:trPr>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Event / exercise name</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Event reference number</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Type of disruption</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Affected location(s)</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Date / time first identified</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Reported / identified by</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BCP activation level</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Date / time activated</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Activated by</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Date / time deactivated</w:t>
            </w:r>
          </w:p>
        </w:tc>
        <w:tc>
          <w:tcPr>
            <w:tcW w:type="dxa" w:w="525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bl>
    <w:p>
      <w:pPr>
        <w:keepNext w:val="0"/>
        <w:spacing w:before="0" w:after="20" w:line="240" w:lineRule="auto"/>
      </w:pPr>
    </w:p>
    <w:p>
      <w:pPr>
        <w:pStyle w:val="SmallHead"/>
        <w:keepNext/>
        <w:spacing w:before="20" w:after="40" w:line="240" w:lineRule="auto"/>
      </w:pPr>
      <w:r>
        <w:rPr>
          <w:rFonts w:ascii="Aptos" w:hAnsi="Aptos"/>
        </w:rPr>
        <w:t>Log ownership and operating period</w:t>
      </w:r>
    </w:p>
    <w:tbl>
      <w:tblPr>
        <w:tblW w:type="auto" w:w="0"/>
        <w:jc w:val="center"/>
        <w:tblLayout w:type="fixed"/>
        <w:tblLook w:firstColumn="1" w:firstRow="1" w:lastColumn="0" w:lastRow="0" w:noHBand="0" w:noVBand="1" w:val="04A0"/>
      </w:tblPr>
      <w:tblGrid>
        <w:gridCol w:w="3600"/>
        <w:gridCol w:w="3600"/>
        <w:gridCol w:w="3600"/>
        <w:gridCol w:w="3600"/>
      </w:tblGrid>
      <w:tr>
        <w:trPr>
          <w:cantSplit/>
          <w:trHeight w:val="518" w:hRule="atLeast"/>
        </w:trPr>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Primary log keeper</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Alternate log keeper</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Business continuity lead</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Current decision-maker</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Operating period covered</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Next handover / review</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Secure working location</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Secure final record location</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Master log version</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448"/>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Page / file naming convention</w:t>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bl>
    <w:p>
      <w:pPr>
        <w:keepNext w:val="0"/>
        <w:spacing w:before="0" w:after="20" w:line="240" w:lineRule="auto"/>
      </w:pPr>
    </w:p>
    <w:p>
      <w:pPr>
        <w:pStyle w:val="SmallHead"/>
        <w:keepNext/>
        <w:spacing w:before="20" w:after="40" w:line="240" w:lineRule="auto"/>
      </w:pPr>
      <w:r>
        <w:rPr>
          <w:rFonts w:ascii="Aptos" w:hAnsi="Aptos"/>
        </w:rPr>
        <w:t>Related records opened for this event</w:t>
      </w:r>
    </w:p>
    <w:tbl>
      <w:tblPr>
        <w:tblW w:type="auto" w:w="0"/>
        <w:jc w:val="center"/>
        <w:tblLayout w:type="fixed"/>
        <w:tblLook w:firstColumn="1" w:firstRow="1" w:lastColumn="0" w:lastRow="0" w:noHBand="0" w:noVBand="1" w:val="04A0"/>
      </w:tblPr>
      <w:tblGrid>
        <w:gridCol w:w="14400"/>
      </w:tblGrid>
      <w:tr>
        <w:tc>
          <w:tcPr>
            <w:tcW w:type="dxa" w:w="14400"/>
            <w:shd w:fill="F6F8F9"/>
            <w:tcMar>
              <w:top w:w="70" w:type="dxa"/>
              <w:start w:w="90" w:type="dxa"/>
              <w:bottom w:w="70" w:type="dxa"/>
              <w:end w:w="90" w:type="dxa"/>
            </w:tcMar>
            <w:tcBorders>
              <w:top w:val="single" w:sz="6" w:space="0" w:color="AFC4D1"/>
              <w:start w:val="single" w:sz="6" w:space="0" w:color="AFC4D1"/>
              <w:bottom w:val="single" w:sz="6" w:space="0" w:color="AFC4D1"/>
              <w:end w:val="single" w:sz="6" w:space="0" w:color="AFC4D1"/>
            </w:tcBorders>
            <w:vAlign w:val="center"/>
          </w:tcPr>
          <w:p>
            <w:pPr>
              <w:spacing w:before="0" w:after="0" w:line="240" w:lineRule="auto"/>
              <w:jc w:val="left"/>
            </w:pPr>
            <w:r>
              <w:rPr>
                <w:rFonts w:ascii="Aptos" w:hAnsi="Aptos"/>
              </w:rPr>
            </w:r>
            <w:r>
              <w:rPr>
                <w:rFonts w:ascii="Aptos" w:hAnsi="Aptos"/>
                <w:b w:val="0"/>
                <w:i w:val="0"/>
                <w:color w:val="1F2B33"/>
                <w:sz w:val="16"/>
              </w:rPr>
            </w:r>
          </w:p>
          <w:tbl>
            <w:tblPr>
              <w:tblW w:type="auto" w:w="0"/>
              <w:tblLayout w:type="fixed"/>
              <w:tblLook w:firstColumn="1" w:firstRow="1" w:lastColumn="0" w:lastRow="0" w:noHBand="0" w:noVBand="1" w:val="04A0"/>
            </w:tblPr>
            <w:tblGrid>
              <w:gridCol w:w="3600"/>
              <w:gridCol w:w="3600"/>
              <w:gridCol w:w="3600"/>
              <w:gridCol w:w="3600"/>
            </w:tblGrid>
            <w:tr>
              <w:tc>
                <w:tcPr>
                  <w:tcW w:type="dxa" w:w="3456"/>
                  <w:shd w:fill="F6F8F9"/>
                  <w:tcMar>
                    <w:top w:w="70" w:type="dxa"/>
                    <w:start w:w="90" w:type="dxa"/>
                    <w:bottom w:w="70" w:type="dxa"/>
                    <w:end w:w="90" w:type="dxa"/>
                  </w:tcMar>
                  <w:tcBorders>
                    <w:top w:val="nil"/>
                    <w:start w:val="nil"/>
                    <w:bottom w:val="nil"/>
                    <w:end w:val="nil"/>
                  </w:tcBorders>
                  <w:vAlign w:val="center"/>
                </w:tcPr>
                <w:p>
                  <w:pPr>
                    <w:spacing w:before="0" w:after="0" w:line="240" w:lineRule="auto"/>
                    <w:jc w:val="left"/>
                  </w:pPr>
                  <w:r/>
                  <w:r>
                    <w:rPr>
                      <w:rFonts w:ascii="Aptos" w:hAnsi="Aptos"/>
                      <w:b w:val="0"/>
                      <w:i w:val="0"/>
                      <w:color w:val="1F2B33"/>
                      <w:sz w:val="15"/>
                    </w:rPr>
                    <w:t>☐ Situation / Event Log</w:t>
                  </w:r>
                </w:p>
              </w:tc>
              <w:tc>
                <w:tcPr>
                  <w:tcW w:type="dxa" w:w="3456"/>
                  <w:shd w:fill="F6F8F9"/>
                  <w:tcMar>
                    <w:top w:w="70" w:type="dxa"/>
                    <w:start w:w="90" w:type="dxa"/>
                    <w:bottom w:w="70" w:type="dxa"/>
                    <w:end w:w="90" w:type="dxa"/>
                  </w:tcMar>
                  <w:tcBorders>
                    <w:top w:val="nil"/>
                    <w:start w:val="nil"/>
                    <w:bottom w:val="nil"/>
                    <w:end w:val="nil"/>
                  </w:tcBorders>
                  <w:vAlign w:val="center"/>
                </w:tcPr>
                <w:p>
                  <w:pPr>
                    <w:spacing w:before="0" w:after="0" w:line="240" w:lineRule="auto"/>
                    <w:jc w:val="left"/>
                  </w:pPr>
                  <w:r/>
                  <w:r>
                    <w:rPr>
                      <w:rFonts w:ascii="Aptos" w:hAnsi="Aptos"/>
                      <w:b w:val="0"/>
                      <w:i w:val="0"/>
                      <w:color w:val="1F2B33"/>
                      <w:sz w:val="15"/>
                    </w:rPr>
                    <w:t>☐ Decision &amp; Authorization Log</w:t>
                  </w:r>
                </w:p>
              </w:tc>
              <w:tc>
                <w:tcPr>
                  <w:tcW w:type="dxa" w:w="3456"/>
                  <w:shd w:fill="F6F8F9"/>
                  <w:tcMar>
                    <w:top w:w="70" w:type="dxa"/>
                    <w:start w:w="90" w:type="dxa"/>
                    <w:bottom w:w="70" w:type="dxa"/>
                    <w:end w:w="90" w:type="dxa"/>
                  </w:tcMar>
                  <w:tcBorders>
                    <w:top w:val="nil"/>
                    <w:start w:val="nil"/>
                    <w:bottom w:val="nil"/>
                    <w:end w:val="nil"/>
                  </w:tcBorders>
                  <w:vAlign w:val="center"/>
                </w:tcPr>
                <w:p>
                  <w:pPr>
                    <w:spacing w:before="0" w:after="0" w:line="240" w:lineRule="auto"/>
                    <w:jc w:val="left"/>
                  </w:pPr>
                  <w:r/>
                  <w:r>
                    <w:rPr>
                      <w:rFonts w:ascii="Aptos" w:hAnsi="Aptos"/>
                      <w:b w:val="0"/>
                      <w:i w:val="0"/>
                      <w:color w:val="1F2B33"/>
                      <w:sz w:val="15"/>
                    </w:rPr>
                    <w:t>☐ Action &amp; Follow-Up Tracker</w:t>
                  </w:r>
                </w:p>
              </w:tc>
              <w:tc>
                <w:tcPr>
                  <w:tcW w:type="dxa" w:w="3456"/>
                  <w:shd w:fill="F6F8F9"/>
                  <w:tcMar>
                    <w:top w:w="70" w:type="dxa"/>
                    <w:start w:w="90" w:type="dxa"/>
                    <w:bottom w:w="70" w:type="dxa"/>
                    <w:end w:w="90" w:type="dxa"/>
                  </w:tcMar>
                  <w:tcBorders>
                    <w:top w:val="nil"/>
                    <w:start w:val="nil"/>
                    <w:bottom w:val="nil"/>
                    <w:end w:val="nil"/>
                  </w:tcBorders>
                  <w:vAlign w:val="center"/>
                </w:tcPr>
                <w:p>
                  <w:pPr>
                    <w:spacing w:before="0" w:after="0" w:line="240" w:lineRule="auto"/>
                    <w:jc w:val="left"/>
                  </w:pPr>
                  <w:r/>
                  <w:r>
                    <w:rPr>
                      <w:rFonts w:ascii="Aptos" w:hAnsi="Aptos"/>
                      <w:b w:val="0"/>
                      <w:i w:val="0"/>
                      <w:color w:val="1F2B33"/>
                      <w:sz w:val="15"/>
                    </w:rPr>
                    <w:t>☐ Emergency Expenditure &amp; Commitment Log</w:t>
                  </w:r>
                </w:p>
              </w:tc>
            </w:tr>
            <w:tr>
              <w:tc>
                <w:tcPr>
                  <w:tcW w:type="dxa" w:w="3456"/>
                  <w:shd w:fill="F6F8F9"/>
                  <w:tcMar>
                    <w:top w:w="70" w:type="dxa"/>
                    <w:start w:w="90" w:type="dxa"/>
                    <w:bottom w:w="70" w:type="dxa"/>
                    <w:end w:w="90" w:type="dxa"/>
                  </w:tcMar>
                  <w:tcBorders>
                    <w:top w:val="nil"/>
                    <w:start w:val="nil"/>
                    <w:bottom w:val="nil"/>
                    <w:end w:val="nil"/>
                  </w:tcBorders>
                  <w:vAlign w:val="center"/>
                </w:tcPr>
                <w:p>
                  <w:pPr>
                    <w:spacing w:before="0" w:after="0" w:line="240" w:lineRule="auto"/>
                    <w:jc w:val="left"/>
                  </w:pPr>
                  <w:r/>
                  <w:r>
                    <w:rPr>
                      <w:rFonts w:ascii="Aptos" w:hAnsi="Aptos"/>
                      <w:b w:val="0"/>
                      <w:i w:val="0"/>
                      <w:color w:val="1F2B33"/>
                      <w:sz w:val="15"/>
                    </w:rPr>
                    <w:t>☐ Communication Log</w:t>
                  </w:r>
                </w:p>
              </w:tc>
              <w:tc>
                <w:tcPr>
                  <w:tcW w:type="dxa" w:w="3456"/>
                  <w:shd w:fill="F6F8F9"/>
                  <w:tcMar>
                    <w:top w:w="70" w:type="dxa"/>
                    <w:start w:w="90" w:type="dxa"/>
                    <w:bottom w:w="70" w:type="dxa"/>
                    <w:end w:w="90" w:type="dxa"/>
                  </w:tcMar>
                  <w:tcBorders>
                    <w:top w:val="nil"/>
                    <w:start w:val="nil"/>
                    <w:bottom w:val="nil"/>
                    <w:end w:val="nil"/>
                  </w:tcBorders>
                  <w:vAlign w:val="center"/>
                </w:tcPr>
                <w:p>
                  <w:pPr>
                    <w:spacing w:before="0" w:after="0" w:line="240" w:lineRule="auto"/>
                    <w:jc w:val="left"/>
                  </w:pPr>
                  <w:r/>
                  <w:r>
                    <w:rPr>
                      <w:rFonts w:ascii="Aptos" w:hAnsi="Aptos"/>
                      <w:b w:val="0"/>
                      <w:i w:val="0"/>
                      <w:color w:val="1F2B33"/>
                      <w:sz w:val="15"/>
                    </w:rPr>
                    <w:t>☐ Employee Accountability Record</w:t>
                  </w:r>
                </w:p>
              </w:tc>
              <w:tc>
                <w:tcPr>
                  <w:tcW w:type="dxa" w:w="3456"/>
                  <w:shd w:fill="F6F8F9"/>
                  <w:tcMar>
                    <w:top w:w="70" w:type="dxa"/>
                    <w:start w:w="90" w:type="dxa"/>
                    <w:bottom w:w="70" w:type="dxa"/>
                    <w:end w:w="90" w:type="dxa"/>
                  </w:tcMar>
                  <w:tcBorders>
                    <w:top w:val="nil"/>
                    <w:start w:val="nil"/>
                    <w:bottom w:val="nil"/>
                    <w:end w:val="nil"/>
                  </w:tcBorders>
                  <w:vAlign w:val="center"/>
                </w:tcPr>
                <w:p>
                  <w:pPr>
                    <w:spacing w:before="0" w:after="0" w:line="240" w:lineRule="auto"/>
                    <w:jc w:val="left"/>
                  </w:pPr>
                  <w:r/>
                  <w:r>
                    <w:rPr>
                      <w:rFonts w:ascii="Aptos" w:hAnsi="Aptos"/>
                      <w:b w:val="0"/>
                      <w:i w:val="0"/>
                      <w:color w:val="1F2B33"/>
                      <w:sz w:val="15"/>
                    </w:rPr>
                    <w:t>☐ Damage / Loss Evidence Record</w:t>
                  </w:r>
                </w:p>
              </w:tc>
              <w:tc>
                <w:tcPr>
                  <w:tcW w:type="dxa" w:w="3456"/>
                  <w:shd w:fill="F6F8F9"/>
                  <w:tcMar>
                    <w:top w:w="70" w:type="dxa"/>
                    <w:start w:w="90" w:type="dxa"/>
                    <w:bottom w:w="70" w:type="dxa"/>
                    <w:end w:w="90" w:type="dxa"/>
                  </w:tcMar>
                  <w:tcBorders>
                    <w:top w:val="nil"/>
                    <w:start w:val="nil"/>
                    <w:bottom w:val="nil"/>
                    <w:end w:val="nil"/>
                  </w:tcBorders>
                  <w:vAlign w:val="center"/>
                </w:tcPr>
                <w:p>
                  <w:pPr>
                    <w:spacing w:before="0" w:after="0" w:line="240" w:lineRule="auto"/>
                    <w:jc w:val="left"/>
                  </w:pPr>
                  <w:r/>
                  <w:r>
                    <w:rPr>
                      <w:rFonts w:ascii="Aptos" w:hAnsi="Aptos"/>
                      <w:b w:val="0"/>
                      <w:i w:val="0"/>
                      <w:color w:val="1F2B33"/>
                      <w:sz w:val="15"/>
                    </w:rPr>
                    <w:t>☐ Other: __________________________</w:t>
                  </w:r>
                </w:p>
              </w:tc>
            </w:tr>
          </w:tbl>
          <w:p>
            <w:pPr>
              <w:spacing w:line="240" w:lineRule="auto"/>
            </w:pPr>
          </w:p>
        </w:tc>
      </w:tr>
    </w:tbl>
    <w:p>
      <w:pPr>
        <w:keepNext w:val="0"/>
        <w:spacing w:before="0" w:after="20" w:line="240" w:lineRule="auto"/>
      </w:pPr>
    </w:p>
    <w:tbl>
      <w:tblPr>
        <w:tblW w:type="auto" w:w="0"/>
        <w:jc w:val="center"/>
        <w:tblLayout w:type="fixed"/>
        <w:tblLook w:firstColumn="1" w:firstRow="1" w:lastColumn="0" w:lastRow="0" w:noHBand="0" w:noVBand="1" w:val="04A0"/>
      </w:tblPr>
      <w:tblGrid>
        <w:gridCol w:w="14400"/>
      </w:tblGrid>
      <w:tr>
        <w:tc>
          <w:tcPr>
            <w:tcW w:type="dxa" w:w="14400"/>
            <w:shd w:fill="F7E8B2"/>
            <w:tcMar>
              <w:top w:w="85" w:type="dxa"/>
              <w:start w:w="110" w:type="dxa"/>
              <w:bottom w:w="85" w:type="dxa"/>
              <w:end w:w="110" w:type="dxa"/>
            </w:tcMar>
            <w:tcBorders>
              <w:top w:val="single" w:sz="0" w:space="0" w:color="F7E8B2"/>
              <w:start w:val="single" w:sz="0" w:space="0" w:color="F7E8B2"/>
              <w:bottom w:val="single" w:sz="0" w:space="0" w:color="F7E8B2"/>
              <w:end w:val="single" w:sz="0" w:space="0" w:color="F7E8B2"/>
            </w:tcBorders>
          </w:tcPr>
          <w:p>
            <w:pPr>
              <w:spacing w:before="0" w:after="0" w:line="240" w:lineRule="auto"/>
            </w:pPr>
            <w:r>
              <w:rPr>
                <w:rFonts w:ascii="Aptos" w:hAnsi="Aptos"/>
              </w:rPr>
            </w:r>
            <w:r>
              <w:rPr>
                <w:rFonts w:ascii="Aptos" w:hAnsi="Aptos"/>
                <w:b/>
                <w:i w:val="0"/>
                <w:color w:val="183B56"/>
                <w:sz w:val="17"/>
              </w:rPr>
              <w:t>Log discipline</w:t>
            </w:r>
            <w:r>
              <w:rPr>
                <w:rFonts w:ascii="Aptos" w:hAnsi="Aptos"/>
                <w:b w:val="0"/>
                <w:i w:val="0"/>
                <w:color w:val="1F2B33"/>
                <w:sz w:val="16"/>
              </w:rPr>
              <w:br/>
              <w:t>Number entries sequentially. Do not erase or overwrite the original record. Correct an error with a dated amendment or note, retain the original entry where practicable and identify who made the correction. Attach or reference supporting emails, messages, receipts, photographs and other evidence rather than copying sensitive detail into every log.</w:t>
            </w:r>
          </w:p>
        </w:tc>
      </w:tr>
    </w:tbl>
    <w:p>
      <w:pPr>
        <w:keepNext w:val="0"/>
        <w:spacing w:before="0" w:after="20" w:line="240" w:lineRule="auto"/>
      </w:pPr>
    </w:p>
    <w:p>
      <w:pPr>
        <w:pageBreakBefore w:val="1"/>
        <w:spacing w:after="0"/>
      </w:pPr>
    </w:p>
    <w:p>
      <w:pPr>
        <w:pStyle w:val="SectionHead"/>
        <w:keepNext/>
        <w:spacing w:before="0" w:after="60" w:line="240" w:lineRule="auto"/>
      </w:pPr>
      <w:r>
        <w:rPr>
          <w:rFonts w:ascii="Aptos" w:hAnsi="Aptos"/>
        </w:rPr>
        <w:t>2. Situation / Event Log</w:t>
      </w:r>
    </w:p>
    <w:p>
      <w:pPr>
        <w:keepNext w:val="0"/>
        <w:spacing w:before="0" w:after="60" w:line="240" w:lineRule="auto"/>
      </w:pPr>
      <w:r>
        <w:rPr>
          <w:rFonts w:ascii="Aptos" w:hAnsi="Aptos"/>
        </w:rPr>
        <w:t>Use the master event log to record verified developments, operational effects and the need for a decision or action. Record material changes even when no immediate decision is required.</w:t>
      </w:r>
    </w:p>
    <w:tbl>
      <w:tblPr>
        <w:tblW w:type="auto" w:w="0"/>
        <w:jc w:val="center"/>
        <w:tblLayout w:type="fixed"/>
        <w:tblLook w:firstColumn="1" w:firstRow="1" w:lastColumn="0" w:lastRow="0" w:noHBand="0" w:noVBand="1" w:val="04A0"/>
      </w:tblPr>
      <w:tblGrid>
        <w:gridCol w:w="1800"/>
        <w:gridCol w:w="1800"/>
        <w:gridCol w:w="1800"/>
        <w:gridCol w:w="1800"/>
        <w:gridCol w:w="1800"/>
        <w:gridCol w:w="1800"/>
        <w:gridCol w:w="1800"/>
        <w:gridCol w:w="1800"/>
      </w:tblGrid>
      <w:tr>
        <w:trPr>
          <w:cantSplit/>
          <w:trHeight w:val="619" w:hRule="atLeast"/>
          <w:tblHeader w:val="true"/>
        </w:trPr>
        <w:tc>
          <w:tcPr>
            <w:tcW w:type="dxa" w:w="72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Entry</w:t>
            </w:r>
          </w:p>
        </w:tc>
        <w:tc>
          <w:tcPr>
            <w:tcW w:type="dxa" w:w="122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Date / Time</w:t>
            </w:r>
          </w:p>
        </w:tc>
        <w:tc>
          <w:tcPr>
            <w:tcW w:type="dxa" w:w="324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Verified Development / What Happened</w:t>
            </w:r>
          </w:p>
        </w:tc>
        <w:tc>
          <w:tcPr>
            <w:tcW w:type="dxa" w:w="144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Source</w:t>
            </w:r>
          </w:p>
        </w:tc>
        <w:tc>
          <w:tcPr>
            <w:tcW w:type="dxa" w:w="266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Effect on Critical Functions / Operations</w:t>
            </w:r>
          </w:p>
        </w:tc>
        <w:tc>
          <w:tcPr>
            <w:tcW w:type="dxa" w:w="223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Decision or Action Required</w:t>
            </w:r>
          </w:p>
        </w:tc>
        <w:tc>
          <w:tcPr>
            <w:tcW w:type="dxa" w:w="115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Logged By</w:t>
            </w:r>
          </w:p>
        </w:tc>
        <w:tc>
          <w:tcPr>
            <w:tcW w:type="dxa" w:w="172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Related Record / Ref.</w:t>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1</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2</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3</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4</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5</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6</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7</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8</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9</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10</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r>
        <w:trPr>
          <w:cantSplit/>
          <w:trHeight w:val="619"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t>11</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32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6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5"/>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5"/>
              </w:rPr>
            </w:r>
          </w:p>
        </w:tc>
      </w:tr>
    </w:tbl>
    <w:p>
      <w:pPr>
        <w:keepNext w:val="0"/>
        <w:spacing w:before="0" w:after="20" w:line="240" w:lineRule="auto"/>
      </w:pPr>
    </w:p>
    <w:tbl>
      <w:tblPr>
        <w:tblW w:type="auto" w:w="0"/>
        <w:jc w:val="center"/>
        <w:tblLayout w:type="fixed"/>
        <w:tblLook w:firstColumn="1" w:firstRow="1" w:lastColumn="0" w:lastRow="0" w:noHBand="0" w:noVBand="1" w:val="04A0"/>
      </w:tblPr>
      <w:tblGrid>
        <w:gridCol w:w="14400"/>
      </w:tblGrid>
      <w:tr>
        <w:tc>
          <w:tcPr>
            <w:tcW w:type="dxa" w:w="14400"/>
            <w:shd w:fill="F7E8B2"/>
            <w:tcMar>
              <w:top w:w="85" w:type="dxa"/>
              <w:start w:w="110" w:type="dxa"/>
              <w:bottom w:w="85" w:type="dxa"/>
              <w:end w:w="110" w:type="dxa"/>
            </w:tcMar>
            <w:tcBorders>
              <w:top w:val="single" w:sz="0" w:space="0" w:color="F7E8B2"/>
              <w:start w:val="single" w:sz="0" w:space="0" w:color="F7E8B2"/>
              <w:bottom w:val="single" w:sz="0" w:space="0" w:color="F7E8B2"/>
              <w:end w:val="single" w:sz="0" w:space="0" w:color="F7E8B2"/>
            </w:tcBorders>
          </w:tcPr>
          <w:p>
            <w:pPr>
              <w:spacing w:before="0" w:after="0" w:line="240" w:lineRule="auto"/>
            </w:pPr>
            <w:r>
              <w:rPr>
                <w:rFonts w:ascii="Aptos" w:hAnsi="Aptos"/>
              </w:rPr>
            </w:r>
            <w:r>
              <w:rPr>
                <w:rFonts w:ascii="Aptos" w:hAnsi="Aptos"/>
                <w:b/>
                <w:i w:val="0"/>
                <w:color w:val="183B56"/>
                <w:sz w:val="17"/>
              </w:rPr>
              <w:t>Record facts, not rumours</w:t>
            </w:r>
            <w:r>
              <w:rPr>
                <w:rFonts w:ascii="Aptos" w:hAnsi="Aptos"/>
                <w:b w:val="0"/>
                <w:i w:val="0"/>
                <w:color w:val="1F2B33"/>
                <w:sz w:val="16"/>
              </w:rPr>
              <w:br/>
              <w:t>Where information is not yet verified, label it clearly and record what is being done to confirm it. When a development changes the status of a critical function, continuity strategy or stakeholder message, cross-reference the related decision, action or communication record.</w:t>
            </w:r>
          </w:p>
        </w:tc>
      </w:tr>
    </w:tbl>
    <w:p>
      <w:pPr>
        <w:keepNext w:val="0"/>
        <w:spacing w:before="0" w:after="20" w:line="240" w:lineRule="auto"/>
      </w:pPr>
    </w:p>
    <w:p>
      <w:pPr>
        <w:pageBreakBefore w:val="1"/>
        <w:spacing w:after="0"/>
      </w:pPr>
    </w:p>
    <w:p>
      <w:pPr>
        <w:pStyle w:val="SectionHead"/>
        <w:keepNext/>
        <w:spacing w:before="0" w:after="60" w:line="240" w:lineRule="auto"/>
      </w:pPr>
      <w:r>
        <w:rPr>
          <w:rFonts w:ascii="Aptos" w:hAnsi="Aptos"/>
        </w:rPr>
        <w:t>3. Decision &amp; Authorization Log</w:t>
      </w:r>
    </w:p>
    <w:p>
      <w:pPr>
        <w:keepNext w:val="0"/>
        <w:spacing w:before="0" w:after="60" w:line="240" w:lineRule="auto"/>
      </w:pPr>
      <w:r>
        <w:rPr>
          <w:rFonts w:ascii="Aptos" w:hAnsi="Aptos"/>
        </w:rPr>
        <w:t>Use this log for decisions that affect critical functions, operating status, people, suppliers, expenditure, communications, recovery priorities or the use of continuity arrangements. Record the rationale and the authority under which the decision was made.</w:t>
      </w:r>
    </w:p>
    <w:tbl>
      <w:tblPr>
        <w:tblW w:type="auto" w:w="0"/>
        <w:jc w:val="center"/>
        <w:tblLayout w:type="fixed"/>
        <w:tblLook w:firstColumn="1" w:firstRow="1" w:lastColumn="0" w:lastRow="0" w:noHBand="0" w:noVBand="1" w:val="04A0"/>
      </w:tblPr>
      <w:tblGrid>
        <w:gridCol w:w="1800"/>
        <w:gridCol w:w="1800"/>
        <w:gridCol w:w="1800"/>
        <w:gridCol w:w="1800"/>
        <w:gridCol w:w="1800"/>
        <w:gridCol w:w="1800"/>
        <w:gridCol w:w="1800"/>
        <w:gridCol w:w="1800"/>
      </w:tblGrid>
      <w:tr>
        <w:trPr>
          <w:cantSplit/>
          <w:trHeight w:val="662" w:hRule="atLeast"/>
          <w:tblHeader w:val="true"/>
        </w:trPr>
        <w:tc>
          <w:tcPr>
            <w:tcW w:type="dxa" w:w="86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Decision ID</w:t>
            </w:r>
          </w:p>
        </w:tc>
        <w:tc>
          <w:tcPr>
            <w:tcW w:type="dxa" w:w="115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Date / Time</w:t>
            </w:r>
          </w:p>
        </w:tc>
        <w:tc>
          <w:tcPr>
            <w:tcW w:type="dxa" w:w="223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Issue / Options Considered</w:t>
            </w:r>
          </w:p>
        </w:tc>
        <w:tc>
          <w:tcPr>
            <w:tcW w:type="dxa" w:w="2951"/>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Decision &amp; Rationale</w:t>
            </w:r>
          </w:p>
        </w:tc>
        <w:tc>
          <w:tcPr>
            <w:tcW w:type="dxa" w:w="194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Authority / Limit / Condition</w:t>
            </w:r>
          </w:p>
        </w:tc>
        <w:tc>
          <w:tcPr>
            <w:tcW w:type="dxa" w:w="122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Authorized By</w:t>
            </w:r>
          </w:p>
        </w:tc>
        <w:tc>
          <w:tcPr>
            <w:tcW w:type="dxa" w:w="180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Review Point / Trigger</w:t>
            </w:r>
          </w:p>
        </w:tc>
        <w:tc>
          <w:tcPr>
            <w:tcW w:type="dxa" w:w="223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Outcome / Follow-Up</w:t>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D-01</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D-02</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D-03</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D-04</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D-05</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D-06</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D-07</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D-08</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62" w:hRule="atLeast"/>
        </w:trPr>
        <w:tc>
          <w:tcPr>
            <w:tcW w:type="dxa" w:w="86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D-09</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bl>
    <w:p>
      <w:pPr>
        <w:keepNext w:val="0"/>
        <w:spacing w:before="0" w:after="20" w:line="240" w:lineRule="auto"/>
      </w:pPr>
    </w:p>
    <w:p>
      <w:pPr>
        <w:pStyle w:val="SmallHead"/>
        <w:keepNext/>
        <w:spacing w:before="20" w:after="40" w:line="240" w:lineRule="auto"/>
      </w:pPr>
      <w:r>
        <w:rPr>
          <w:rFonts w:ascii="Aptos" w:hAnsi="Aptos"/>
        </w:rPr>
        <w:t>Decision quality check</w:t>
      </w:r>
    </w:p>
    <w:tbl>
      <w:tblPr>
        <w:tblW w:type="auto" w:w="0"/>
        <w:jc w:val="center"/>
        <w:tblLayout w:type="fixed"/>
        <w:tblLook w:firstColumn="1" w:firstRow="1" w:lastColumn="0" w:lastRow="0" w:noHBand="0" w:noVBand="1" w:val="04A0"/>
      </w:tblPr>
      <w:tblGrid>
        <w:gridCol w:w="2880"/>
        <w:gridCol w:w="2880"/>
        <w:gridCol w:w="2880"/>
        <w:gridCol w:w="2880"/>
        <w:gridCol w:w="2880"/>
      </w:tblGrid>
      <w:tr>
        <w:trPr>
          <w:cantSplit/>
          <w:trHeight w:val="749" w:hRule="atLeast"/>
        </w:trPr>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Based on verified information</w:t>
            </w:r>
          </w:p>
        </w:tc>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Within delegated authority</w:t>
            </w:r>
          </w:p>
        </w:tc>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People, cost and risk implications considered</w:t>
            </w:r>
          </w:p>
        </w:tc>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Decision communicated to those who must act</w:t>
            </w:r>
          </w:p>
        </w:tc>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Review time, trigger or end condition set</w:t>
            </w:r>
          </w:p>
        </w:tc>
      </w:tr>
    </w:tbl>
    <w:p>
      <w:pPr>
        <w:pageBreakBefore w:val="1"/>
        <w:spacing w:after="0"/>
      </w:pPr>
    </w:p>
    <w:p>
      <w:pPr>
        <w:pStyle w:val="SectionHead"/>
        <w:keepNext/>
        <w:spacing w:before="0" w:after="60" w:line="240" w:lineRule="auto"/>
      </w:pPr>
      <w:r>
        <w:rPr>
          <w:rFonts w:ascii="Aptos" w:hAnsi="Aptos"/>
        </w:rPr>
        <w:t>4. Action &amp; Follow-Up Tracker</w:t>
      </w:r>
    </w:p>
    <w:p>
      <w:pPr>
        <w:keepNext w:val="0"/>
        <w:spacing w:before="0" w:after="60" w:line="240" w:lineRule="auto"/>
      </w:pPr>
      <w:r>
        <w:rPr>
          <w:rFonts w:ascii="Aptos" w:hAnsi="Aptos"/>
        </w:rPr>
        <w:t>Translate decisions and operational needs into assigned actions. Track the outcome required, owner, deadline, status, dependencies and evidence of completion so that important tasks are not lost between handovers.</w:t>
      </w:r>
    </w:p>
    <w:tbl>
      <w:tblPr>
        <w:tblW w:type="auto" w:w="0"/>
        <w:jc w:val="center"/>
        <w:tblLayout w:type="fixed"/>
        <w:tblLook w:firstColumn="1" w:firstRow="1" w:lastColumn="0" w:lastRow="0" w:noHBand="0" w:noVBand="1" w:val="04A0"/>
      </w:tblPr>
      <w:tblGrid>
        <w:gridCol w:w="1600"/>
        <w:gridCol w:w="1600"/>
        <w:gridCol w:w="1600"/>
        <w:gridCol w:w="1600"/>
        <w:gridCol w:w="1600"/>
        <w:gridCol w:w="1600"/>
        <w:gridCol w:w="1600"/>
        <w:gridCol w:w="1600"/>
        <w:gridCol w:w="1600"/>
      </w:tblGrid>
      <w:tr>
        <w:trPr>
          <w:cantSplit/>
          <w:trHeight w:val="576" w:hRule="atLeast"/>
          <w:tblHeader w:val="true"/>
        </w:trPr>
        <w:tc>
          <w:tcPr>
            <w:tcW w:type="dxa" w:w="79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Action ID</w:t>
            </w:r>
          </w:p>
        </w:tc>
        <w:tc>
          <w:tcPr>
            <w:tcW w:type="dxa" w:w="122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Assigned Date / Time</w:t>
            </w:r>
          </w:p>
        </w:tc>
        <w:tc>
          <w:tcPr>
            <w:tcW w:type="dxa" w:w="2951"/>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Required Action / Outcome</w:t>
            </w:r>
          </w:p>
        </w:tc>
        <w:tc>
          <w:tcPr>
            <w:tcW w:type="dxa" w:w="122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Owner</w:t>
            </w:r>
          </w:p>
        </w:tc>
        <w:tc>
          <w:tcPr>
            <w:tcW w:type="dxa" w:w="86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Priority</w:t>
            </w:r>
          </w:p>
        </w:tc>
        <w:tc>
          <w:tcPr>
            <w:tcW w:type="dxa" w:w="1296"/>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Target Date / Time</w:t>
            </w:r>
          </w:p>
        </w:tc>
        <w:tc>
          <w:tcPr>
            <w:tcW w:type="dxa" w:w="1296"/>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Status</w:t>
            </w:r>
          </w:p>
        </w:tc>
        <w:tc>
          <w:tcPr>
            <w:tcW w:type="dxa" w:w="194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Dependency / Barrier</w:t>
            </w:r>
          </w:p>
        </w:tc>
        <w:tc>
          <w:tcPr>
            <w:tcW w:type="dxa" w:w="280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Evidence / Follow-Up</w:t>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A-01</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A-02</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A-03</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A-04</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A-05</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A-06</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A-07</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A-08</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A-09</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A-10</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576" w:hRule="atLeast"/>
        </w:trPr>
        <w:tc>
          <w:tcPr>
            <w:tcW w:type="dxa" w:w="7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A-11</w:t>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95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2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86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29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94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bl>
    <w:p>
      <w:pPr>
        <w:keepNext w:val="0"/>
        <w:spacing w:before="0" w:after="20" w:line="240" w:lineRule="auto"/>
      </w:pPr>
    </w:p>
    <w:tbl>
      <w:tblPr>
        <w:tblW w:type="auto" w:w="0"/>
        <w:jc w:val="center"/>
        <w:tblLayout w:type="fixed"/>
        <w:tblLook w:firstColumn="1" w:firstRow="1" w:lastColumn="0" w:lastRow="0" w:noHBand="0" w:noVBand="1" w:val="04A0"/>
      </w:tblPr>
      <w:tblGrid>
        <w:gridCol w:w="14400"/>
      </w:tblGrid>
      <w:tr>
        <w:tc>
          <w:tcPr>
            <w:tcW w:type="dxa" w:w="14400"/>
            <w:shd w:fill="E6F1E4"/>
            <w:tcMar>
              <w:top w:w="85" w:type="dxa"/>
              <w:start w:w="110" w:type="dxa"/>
              <w:bottom w:w="85" w:type="dxa"/>
              <w:end w:w="110" w:type="dxa"/>
            </w:tcMar>
            <w:tcBorders>
              <w:top w:val="single" w:sz="0" w:space="0" w:color="E6F1E4"/>
              <w:start w:val="single" w:sz="0" w:space="0" w:color="E6F1E4"/>
              <w:bottom w:val="single" w:sz="0" w:space="0" w:color="E6F1E4"/>
              <w:end w:val="single" w:sz="0" w:space="0" w:color="E6F1E4"/>
            </w:tcBorders>
          </w:tcPr>
          <w:p>
            <w:pPr>
              <w:spacing w:before="0" w:after="0" w:line="240" w:lineRule="auto"/>
            </w:pPr>
            <w:r>
              <w:rPr>
                <w:rFonts w:ascii="Aptos" w:hAnsi="Aptos"/>
              </w:rPr>
            </w:r>
            <w:r>
              <w:rPr>
                <w:rFonts w:ascii="Aptos" w:hAnsi="Aptos"/>
                <w:b/>
                <w:i w:val="0"/>
                <w:color w:val="183B56"/>
                <w:sz w:val="17"/>
              </w:rPr>
              <w:t>Status options</w:t>
            </w:r>
            <w:r>
              <w:rPr>
                <w:rFonts w:ascii="Aptos" w:hAnsi="Aptos"/>
                <w:b w:val="0"/>
                <w:i w:val="0"/>
                <w:color w:val="1F2B33"/>
                <w:sz w:val="16"/>
              </w:rPr>
              <w:br/>
              <w:t>Not Started • In Progress • Complete • Delayed • Blocked • Requires Decision • Requires Resources • Transferred to Recovery. Escalate an action when a barrier threatens a critical function, Target Recovery Time, safety obligation, regulatory requirement or important stakeholder commitment.</w:t>
            </w:r>
          </w:p>
        </w:tc>
      </w:tr>
    </w:tbl>
    <w:p>
      <w:pPr>
        <w:keepNext w:val="0"/>
        <w:spacing w:before="0" w:after="20" w:line="240" w:lineRule="auto"/>
      </w:pPr>
    </w:p>
    <w:p>
      <w:pPr>
        <w:pageBreakBefore w:val="1"/>
        <w:spacing w:after="0"/>
      </w:pPr>
    </w:p>
    <w:p>
      <w:pPr>
        <w:pStyle w:val="SectionHead"/>
        <w:keepNext/>
        <w:spacing w:before="0" w:after="60" w:line="240" w:lineRule="auto"/>
      </w:pPr>
      <w:r>
        <w:rPr>
          <w:rFonts w:ascii="Aptos" w:hAnsi="Aptos"/>
        </w:rPr>
        <w:t>5. Emergency Expenditure &amp; Commitment Log</w:t>
      </w:r>
    </w:p>
    <w:p>
      <w:pPr>
        <w:keepNext w:val="0"/>
        <w:spacing w:before="0" w:after="60" w:line="240" w:lineRule="auto"/>
      </w:pPr>
      <w:r>
        <w:rPr>
          <w:rFonts w:ascii="Aptos" w:hAnsi="Aptos"/>
        </w:rPr>
        <w:t>Record emergency purchases, supplier commitments, deposits, temporary services and other financial obligations made during continuity operations. Keep receipts and formal accounting records separately and reference them here.</w:t>
      </w:r>
    </w:p>
    <w:p>
      <w:pPr>
        <w:pStyle w:val="SmallHead"/>
        <w:keepNext/>
        <w:spacing w:before="20" w:after="40" w:line="240" w:lineRule="auto"/>
      </w:pPr>
      <w:r>
        <w:rPr>
          <w:rFonts w:ascii="Aptos" w:hAnsi="Aptos"/>
        </w:rPr>
        <w:t>Emergency financial authority</w:t>
      </w:r>
    </w:p>
    <w:tbl>
      <w:tblPr>
        <w:tblW w:type="auto" w:w="0"/>
        <w:jc w:val="center"/>
        <w:tblLayout w:type="fixed"/>
        <w:tblLook w:firstColumn="1" w:firstRow="1" w:lastColumn="0" w:lastRow="0" w:noHBand="0" w:noVBand="1" w:val="04A0"/>
      </w:tblPr>
      <w:tblGrid>
        <w:gridCol w:w="2400"/>
        <w:gridCol w:w="2400"/>
        <w:gridCol w:w="2400"/>
        <w:gridCol w:w="2400"/>
        <w:gridCol w:w="2400"/>
        <w:gridCol w:w="2400"/>
      </w:tblGrid>
      <w:tr>
        <w:trPr>
          <w:cantSplit/>
          <w:trHeight w:val="518" w:hRule="atLeast"/>
        </w:trPr>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Primary spending authority</w:t>
            </w:r>
          </w:p>
        </w:tc>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Alternate</w:t>
            </w:r>
          </w:p>
        </w:tc>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Emergency limit</w:t>
            </w:r>
          </w:p>
        </w:tc>
        <w:tc>
          <w:tcPr>
            <w:tcW w:type="dxa" w:w="252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Finance contact</w:t>
            </w:r>
          </w:p>
        </w:tc>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Approved payment method(s)</w:t>
            </w:r>
          </w:p>
        </w:tc>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Secure record location</w:t>
            </w:r>
          </w:p>
        </w:tc>
        <w:tc>
          <w:tcPr>
            <w:tcW w:type="dxa" w:w="252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bl>
    <w:p>
      <w:pPr>
        <w:keepNext w:val="0"/>
        <w:spacing w:before="0" w:after="20" w:line="240" w:lineRule="auto"/>
      </w:pPr>
    </w:p>
    <w:tbl>
      <w:tblPr>
        <w:tblW w:type="auto" w:w="0"/>
        <w:jc w:val="center"/>
        <w:tblLayout w:type="fixed"/>
        <w:tblLook w:firstColumn="1" w:firstRow="1" w:lastColumn="0" w:lastRow="0" w:noHBand="0" w:noVBand="1" w:val="04A0"/>
      </w:tblPr>
      <w:tblGrid>
        <w:gridCol w:w="1600"/>
        <w:gridCol w:w="1600"/>
        <w:gridCol w:w="1600"/>
        <w:gridCol w:w="1600"/>
        <w:gridCol w:w="1600"/>
        <w:gridCol w:w="1600"/>
        <w:gridCol w:w="1600"/>
        <w:gridCol w:w="1600"/>
        <w:gridCol w:w="1600"/>
      </w:tblGrid>
      <w:tr>
        <w:trPr>
          <w:cantSplit/>
          <w:trHeight w:val="605" w:hRule="atLeast"/>
          <w:tblHeader w:val="true"/>
        </w:trPr>
        <w:tc>
          <w:tcPr>
            <w:tcW w:type="dxa" w:w="72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Ref.</w:t>
            </w:r>
          </w:p>
        </w:tc>
        <w:tc>
          <w:tcPr>
            <w:tcW w:type="dxa" w:w="108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Date / Time</w:t>
            </w:r>
          </w:p>
        </w:tc>
        <w:tc>
          <w:tcPr>
            <w:tcW w:type="dxa" w:w="223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Item, Service or Commitment</w:t>
            </w:r>
          </w:p>
        </w:tc>
        <w:tc>
          <w:tcPr>
            <w:tcW w:type="dxa" w:w="208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Business Need / Critical Function</w:t>
            </w:r>
          </w:p>
        </w:tc>
        <w:tc>
          <w:tcPr>
            <w:tcW w:type="dxa" w:w="158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Supplier / Payee</w:t>
            </w:r>
          </w:p>
        </w:tc>
        <w:tc>
          <w:tcPr>
            <w:tcW w:type="dxa" w:w="115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Amount / Currency</w:t>
            </w:r>
          </w:p>
        </w:tc>
        <w:tc>
          <w:tcPr>
            <w:tcW w:type="dxa" w:w="1655"/>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Approved By / Limit</w:t>
            </w:r>
          </w:p>
        </w:tc>
        <w:tc>
          <w:tcPr>
            <w:tcW w:type="dxa" w:w="151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Payment Status</w:t>
            </w:r>
          </w:p>
        </w:tc>
        <w:tc>
          <w:tcPr>
            <w:tcW w:type="dxa" w:w="2376"/>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Receipt / Record Ref.</w:t>
            </w:r>
          </w:p>
        </w:tc>
      </w:tr>
      <w:tr>
        <w:trPr>
          <w:cantSplit/>
          <w:trHeight w:val="605"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E-01</w:t>
            </w:r>
          </w:p>
        </w:tc>
        <w:tc>
          <w:tcPr>
            <w:tcW w:type="dxa" w:w="10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65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1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37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05"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E-02</w:t>
            </w:r>
          </w:p>
        </w:tc>
        <w:tc>
          <w:tcPr>
            <w:tcW w:type="dxa" w:w="10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65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1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37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05"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E-03</w:t>
            </w:r>
          </w:p>
        </w:tc>
        <w:tc>
          <w:tcPr>
            <w:tcW w:type="dxa" w:w="10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65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1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37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05"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E-04</w:t>
            </w:r>
          </w:p>
        </w:tc>
        <w:tc>
          <w:tcPr>
            <w:tcW w:type="dxa" w:w="10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65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1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37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05"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E-05</w:t>
            </w:r>
          </w:p>
        </w:tc>
        <w:tc>
          <w:tcPr>
            <w:tcW w:type="dxa" w:w="10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65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1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37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05"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E-06</w:t>
            </w:r>
          </w:p>
        </w:tc>
        <w:tc>
          <w:tcPr>
            <w:tcW w:type="dxa" w:w="10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65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1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37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05"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E-07</w:t>
            </w:r>
          </w:p>
        </w:tc>
        <w:tc>
          <w:tcPr>
            <w:tcW w:type="dxa" w:w="10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65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1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37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605" w:hRule="atLeast"/>
        </w:trPr>
        <w:tc>
          <w:tcPr>
            <w:tcW w:type="dxa" w:w="72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E-08</w:t>
            </w:r>
          </w:p>
        </w:tc>
        <w:tc>
          <w:tcPr>
            <w:tcW w:type="dxa" w:w="10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23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65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1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37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bl>
    <w:p>
      <w:pPr>
        <w:keepNext w:val="0"/>
        <w:spacing w:before="0" w:after="20" w:line="240" w:lineRule="auto"/>
      </w:pPr>
    </w:p>
    <w:p>
      <w:pPr>
        <w:pStyle w:val="SmallHead"/>
        <w:keepNext/>
        <w:spacing w:before="20" w:after="40" w:line="240" w:lineRule="auto"/>
      </w:pPr>
      <w:r>
        <w:rPr>
          <w:rFonts w:ascii="Aptos" w:hAnsi="Aptos"/>
        </w:rPr>
        <w:t>Financial record check</w:t>
      </w:r>
    </w:p>
    <w:tbl>
      <w:tblPr>
        <w:tblW w:type="auto" w:w="0"/>
        <w:jc w:val="center"/>
        <w:tblLayout w:type="fixed"/>
        <w:tblLook w:firstColumn="1" w:firstRow="1" w:lastColumn="0" w:lastRow="0" w:noHBand="0" w:noVBand="1" w:val="04A0"/>
      </w:tblPr>
      <w:tblGrid>
        <w:gridCol w:w="2880"/>
        <w:gridCol w:w="2880"/>
        <w:gridCol w:w="2880"/>
        <w:gridCol w:w="2880"/>
        <w:gridCol w:w="2880"/>
      </w:tblGrid>
      <w:tr>
        <w:trPr>
          <w:cantSplit/>
          <w:trHeight w:val="691" w:hRule="atLeast"/>
        </w:trPr>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Approval recorded</w:t>
            </w:r>
          </w:p>
        </w:tc>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Supplier / payee confirmed</w:t>
            </w:r>
          </w:p>
        </w:tc>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Receipt or invoice retained</w:t>
            </w:r>
          </w:p>
        </w:tc>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Finance notified / posted</w:t>
            </w:r>
          </w:p>
        </w:tc>
        <w:tc>
          <w:tcPr>
            <w:tcW w:type="dxa" w:w="2880"/>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Insurance or reimbursement relevance checked</w:t>
            </w:r>
          </w:p>
        </w:tc>
      </w:tr>
    </w:tbl>
    <w:p>
      <w:pPr>
        <w:pageBreakBefore w:val="1"/>
        <w:spacing w:after="0"/>
      </w:pPr>
    </w:p>
    <w:p>
      <w:pPr>
        <w:pStyle w:val="SectionHead"/>
        <w:keepNext/>
        <w:spacing w:before="0" w:after="60" w:line="240" w:lineRule="auto"/>
      </w:pPr>
      <w:r>
        <w:rPr>
          <w:rFonts w:ascii="Aptos" w:hAnsi="Aptos"/>
        </w:rPr>
        <w:t>6. Operational Handover &amp; Status Summary</w:t>
      </w:r>
    </w:p>
    <w:p>
      <w:pPr>
        <w:keepNext w:val="0"/>
        <w:spacing w:before="0" w:after="60" w:line="240" w:lineRule="auto"/>
      </w:pPr>
      <w:r>
        <w:rPr>
          <w:rFonts w:ascii="Aptos" w:hAnsi="Aptos"/>
        </w:rPr>
        <w:t>Complete this page at each formal handover, operating-period change or major transition. The incoming lead should be able to understand the current operating picture, unresolved priorities and record status without reconstructing the event from memory.</w:t>
      </w:r>
    </w:p>
    <w:tbl>
      <w:tblPr>
        <w:tblW w:type="auto" w:w="0"/>
        <w:jc w:val="center"/>
        <w:tblLayout w:type="fixed"/>
        <w:tblLook w:firstColumn="1" w:firstRow="1" w:lastColumn="0" w:lastRow="0" w:noHBand="0" w:noVBand="1" w:val="04A0"/>
      </w:tblPr>
      <w:tblGrid>
        <w:gridCol w:w="2400"/>
        <w:gridCol w:w="2400"/>
        <w:gridCol w:w="2400"/>
        <w:gridCol w:w="2400"/>
        <w:gridCol w:w="2400"/>
        <w:gridCol w:w="2400"/>
      </w:tblGrid>
      <w:tr>
        <w:trPr>
          <w:cantSplit/>
          <w:trHeight w:val="490" w:hRule="atLeast"/>
        </w:trPr>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Event reference</w:t>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Operating period</w:t>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Prepared date / time</w:t>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490" w:hRule="atLeast"/>
        </w:trPr>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Outgoing lead</w:t>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Incoming lead</w:t>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Next review / handover</w:t>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490" w:hRule="atLeast"/>
        </w:trPr>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Activation level</w:t>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Current decision-maker</w:t>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1944"/>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Log keeper</w:t>
            </w:r>
          </w:p>
        </w:tc>
        <w:tc>
          <w:tcPr>
            <w:tcW w:type="dxa" w:w="28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bl>
    <w:p>
      <w:pPr>
        <w:keepNext w:val="0"/>
        <w:spacing w:before="0" w:after="20" w:line="240" w:lineRule="auto"/>
      </w:pPr>
    </w:p>
    <w:p>
      <w:pPr>
        <w:pStyle w:val="SmallHead"/>
        <w:keepNext/>
        <w:spacing w:before="20" w:after="40" w:line="240" w:lineRule="auto"/>
      </w:pPr>
      <w:r>
        <w:rPr>
          <w:rFonts w:ascii="Aptos" w:hAnsi="Aptos"/>
        </w:rPr>
        <w:t>Current operating picture</w:t>
      </w:r>
    </w:p>
    <w:tbl>
      <w:tblPr>
        <w:tblW w:type="auto" w:w="0"/>
        <w:jc w:val="center"/>
        <w:tblLayout w:type="fixed"/>
        <w:tblLook w:firstColumn="1" w:firstRow="1" w:lastColumn="0" w:lastRow="0" w:noHBand="0" w:noVBand="1" w:val="04A0"/>
      </w:tblPr>
      <w:tblGrid>
        <w:gridCol w:w="3600"/>
        <w:gridCol w:w="3600"/>
        <w:gridCol w:w="3600"/>
        <w:gridCol w:w="3600"/>
      </w:tblGrid>
      <w:tr>
        <w:trPr>
          <w:cantSplit/>
          <w:trHeight w:val="922" w:hRule="atLeast"/>
        </w:trPr>
        <w:tc>
          <w:tcPr>
            <w:tcW w:type="dxa" w:w="3600"/>
            <w:shd w:fill="F6F8F9"/>
            <w:tcMar>
              <w:top w:w="90" w:type="dxa"/>
              <w:start w:w="110" w:type="dxa"/>
              <w:bottom w:w="90" w:type="dxa"/>
              <w:end w:w="110" w:type="dxa"/>
            </w:tcMar>
            <w:vAlign w:val="top"/>
            <w:tcBorders>
              <w:top w:val="single" w:sz="6" w:space="0" w:color="AFC4D1"/>
              <w:start w:val="single" w:sz="6" w:space="0" w:color="AFC4D1"/>
              <w:bottom w:val="single" w:sz="6" w:space="0" w:color="AFC4D1"/>
              <w:end w:val="single" w:sz="6" w:space="0" w:color="AFC4D1"/>
            </w:tcBorders>
          </w:tcPr>
          <w:p>
            <w:pPr>
              <w:spacing w:before="0" w:after="0" w:line="240" w:lineRule="auto"/>
            </w:pPr>
            <w:r>
              <w:rPr>
                <w:rFonts w:ascii="Aptos" w:hAnsi="Aptos"/>
              </w:rPr>
            </w:r>
            <w:r>
              <w:rPr>
                <w:rFonts w:ascii="Aptos" w:hAnsi="Aptos"/>
                <w:b/>
                <w:i w:val="0"/>
                <w:color w:val="2B6F73"/>
                <w:sz w:val="17"/>
              </w:rPr>
              <w:t>Overall status</w:t>
            </w:r>
            <w:r>
              <w:rPr>
                <w:rFonts w:ascii="Aptos" w:hAnsi="Aptos"/>
                <w:b w:val="0"/>
                <w:i w:val="0"/>
                <w:color w:val="1F2B33"/>
                <w:sz w:val="15"/>
              </w:rPr>
              <w:br/>
              <w:t>Normal / limited / suspended / recovering and the reason.</w:t>
            </w:r>
          </w:p>
        </w:tc>
        <w:tc>
          <w:tcPr>
            <w:tcW w:type="dxa" w:w="3600"/>
            <w:shd w:fill="F6F8F9"/>
            <w:tcMar>
              <w:top w:w="90" w:type="dxa"/>
              <w:start w:w="110" w:type="dxa"/>
              <w:bottom w:w="90" w:type="dxa"/>
              <w:end w:w="110" w:type="dxa"/>
            </w:tcMar>
            <w:vAlign w:val="top"/>
            <w:tcBorders>
              <w:top w:val="single" w:sz="6" w:space="0" w:color="AFC4D1"/>
              <w:start w:val="single" w:sz="6" w:space="0" w:color="AFC4D1"/>
              <w:bottom w:val="single" w:sz="6" w:space="0" w:color="AFC4D1"/>
              <w:end w:val="single" w:sz="6" w:space="0" w:color="AFC4D1"/>
            </w:tcBorders>
          </w:tcPr>
          <w:p>
            <w:pPr>
              <w:spacing w:before="0" w:after="0" w:line="240" w:lineRule="auto"/>
            </w:pPr>
            <w:r>
              <w:rPr>
                <w:rFonts w:ascii="Aptos" w:hAnsi="Aptos"/>
              </w:rPr>
            </w:r>
            <w:r>
              <w:rPr>
                <w:rFonts w:ascii="Aptos" w:hAnsi="Aptos"/>
                <w:b/>
                <w:i w:val="0"/>
                <w:color w:val="2B6F73"/>
                <w:sz w:val="17"/>
              </w:rPr>
              <w:t>Immediate priorities</w:t>
            </w:r>
            <w:r>
              <w:rPr>
                <w:rFonts w:ascii="Aptos" w:hAnsi="Aptos"/>
                <w:b w:val="0"/>
                <w:i w:val="0"/>
                <w:color w:val="1F2B33"/>
                <w:sz w:val="15"/>
              </w:rPr>
              <w:br/>
              <w:t>What must be protected, restored or decided next.</w:t>
            </w:r>
          </w:p>
        </w:tc>
        <w:tc>
          <w:tcPr>
            <w:tcW w:type="dxa" w:w="3600"/>
            <w:shd w:fill="F6F8F9"/>
            <w:tcMar>
              <w:top w:w="90" w:type="dxa"/>
              <w:start w:w="110" w:type="dxa"/>
              <w:bottom w:w="90" w:type="dxa"/>
              <w:end w:w="110" w:type="dxa"/>
            </w:tcMar>
            <w:vAlign w:val="top"/>
            <w:tcBorders>
              <w:top w:val="single" w:sz="6" w:space="0" w:color="AFC4D1"/>
              <w:start w:val="single" w:sz="6" w:space="0" w:color="AFC4D1"/>
              <w:bottom w:val="single" w:sz="6" w:space="0" w:color="AFC4D1"/>
              <w:end w:val="single" w:sz="6" w:space="0" w:color="AFC4D1"/>
            </w:tcBorders>
          </w:tcPr>
          <w:p>
            <w:pPr>
              <w:spacing w:before="0" w:after="0" w:line="240" w:lineRule="auto"/>
            </w:pPr>
            <w:r>
              <w:rPr>
                <w:rFonts w:ascii="Aptos" w:hAnsi="Aptos"/>
              </w:rPr>
            </w:r>
            <w:r>
              <w:rPr>
                <w:rFonts w:ascii="Aptos" w:hAnsi="Aptos"/>
                <w:b/>
                <w:i w:val="0"/>
                <w:color w:val="2B6F73"/>
                <w:sz w:val="17"/>
              </w:rPr>
              <w:t>Major constraints</w:t>
            </w:r>
            <w:r>
              <w:rPr>
                <w:rFonts w:ascii="Aptos" w:hAnsi="Aptos"/>
                <w:b w:val="0"/>
                <w:i w:val="0"/>
                <w:color w:val="1F2B33"/>
                <w:sz w:val="15"/>
              </w:rPr>
              <w:br/>
              <w:t>People, premises, utilities, systems, suppliers, finance or access.</w:t>
            </w:r>
          </w:p>
        </w:tc>
        <w:tc>
          <w:tcPr>
            <w:tcW w:type="dxa" w:w="3600"/>
            <w:shd w:fill="F6F8F9"/>
            <w:tcMar>
              <w:top w:w="90" w:type="dxa"/>
              <w:start w:w="110" w:type="dxa"/>
              <w:bottom w:w="90" w:type="dxa"/>
              <w:end w:w="110" w:type="dxa"/>
            </w:tcMar>
            <w:vAlign w:val="top"/>
            <w:tcBorders>
              <w:top w:val="single" w:sz="6" w:space="0" w:color="AFC4D1"/>
              <w:start w:val="single" w:sz="6" w:space="0" w:color="AFC4D1"/>
              <w:bottom w:val="single" w:sz="6" w:space="0" w:color="AFC4D1"/>
              <w:end w:val="single" w:sz="6" w:space="0" w:color="AFC4D1"/>
            </w:tcBorders>
          </w:tcPr>
          <w:p>
            <w:pPr>
              <w:spacing w:before="0" w:after="0" w:line="240" w:lineRule="auto"/>
            </w:pPr>
            <w:r>
              <w:rPr>
                <w:rFonts w:ascii="Aptos" w:hAnsi="Aptos"/>
              </w:rPr>
            </w:r>
            <w:r>
              <w:rPr>
                <w:rFonts w:ascii="Aptos" w:hAnsi="Aptos"/>
                <w:b/>
                <w:i w:val="0"/>
                <w:color w:val="2B6F73"/>
                <w:sz w:val="17"/>
              </w:rPr>
              <w:t>Next review point</w:t>
            </w:r>
            <w:r>
              <w:rPr>
                <w:rFonts w:ascii="Aptos" w:hAnsi="Aptos"/>
                <w:b w:val="0"/>
                <w:i w:val="0"/>
                <w:color w:val="1F2B33"/>
                <w:sz w:val="15"/>
              </w:rPr>
              <w:br/>
              <w:t>Time, trigger or condition for the next formal reassessment.</w:t>
            </w:r>
          </w:p>
        </w:tc>
      </w:tr>
    </w:tbl>
    <w:p>
      <w:pPr>
        <w:keepNext w:val="0"/>
        <w:spacing w:before="0" w:after="20" w:line="240" w:lineRule="auto"/>
      </w:pPr>
    </w:p>
    <w:p>
      <w:pPr>
        <w:pStyle w:val="SmallHead"/>
        <w:keepNext/>
        <w:spacing w:before="20" w:after="40" w:line="240" w:lineRule="auto"/>
      </w:pPr>
      <w:r>
        <w:rPr>
          <w:rFonts w:ascii="Aptos" w:hAnsi="Aptos"/>
        </w:rPr>
        <w:t>Critical functions status</w:t>
      </w:r>
    </w:p>
    <w:tbl>
      <w:tblPr>
        <w:tblW w:type="auto" w:w="0"/>
        <w:jc w:val="center"/>
        <w:tblLayout w:type="fixed"/>
        <w:tblLook w:firstColumn="1" w:firstRow="1" w:lastColumn="0" w:lastRow="0" w:noHBand="0" w:noVBand="1" w:val="04A0"/>
      </w:tblPr>
      <w:tblGrid>
        <w:gridCol w:w="2400"/>
        <w:gridCol w:w="2400"/>
        <w:gridCol w:w="2400"/>
        <w:gridCol w:w="2400"/>
        <w:gridCol w:w="2400"/>
        <w:gridCol w:w="2400"/>
      </w:tblGrid>
      <w:tr>
        <w:trPr>
          <w:cantSplit/>
          <w:trHeight w:val="533" w:hRule="atLeast"/>
          <w:tblHeader w:val="true"/>
        </w:trPr>
        <w:tc>
          <w:tcPr>
            <w:tcW w:type="dxa" w:w="259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Critical Function</w:t>
            </w:r>
          </w:p>
        </w:tc>
        <w:tc>
          <w:tcPr>
            <w:tcW w:type="dxa" w:w="172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Operating Status</w:t>
            </w:r>
          </w:p>
        </w:tc>
        <w:tc>
          <w:tcPr>
            <w:tcW w:type="dxa" w:w="338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Current Continuity Arrangement</w:t>
            </w:r>
          </w:p>
        </w:tc>
        <w:tc>
          <w:tcPr>
            <w:tcW w:type="dxa" w:w="338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Unresolved Issue / Risk</w:t>
            </w:r>
          </w:p>
        </w:tc>
        <w:tc>
          <w:tcPr>
            <w:tcW w:type="dxa" w:w="144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Owner</w:t>
            </w:r>
          </w:p>
        </w:tc>
        <w:tc>
          <w:tcPr>
            <w:tcW w:type="dxa" w:w="187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Next Review</w:t>
            </w:r>
          </w:p>
        </w:tc>
      </w:tr>
      <w:tr>
        <w:trPr>
          <w:cantSplit/>
          <w:trHeight w:val="533" w:hRule="atLeast"/>
        </w:trPr>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533" w:hRule="atLeast"/>
        </w:trPr>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533" w:hRule="atLeast"/>
        </w:trPr>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533" w:hRule="atLeast"/>
        </w:trPr>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533" w:hRule="atLeast"/>
        </w:trPr>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44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bl>
    <w:p>
      <w:pPr>
        <w:pageBreakBefore w:val="1"/>
        <w:spacing w:after="0"/>
      </w:pPr>
    </w:p>
    <w:p>
      <w:pPr>
        <w:pStyle w:val="SectionHead"/>
        <w:keepNext/>
        <w:spacing w:before="0" w:after="60" w:line="240" w:lineRule="auto"/>
      </w:pPr>
      <w:r>
        <w:rPr>
          <w:rFonts w:ascii="Aptos" w:hAnsi="Aptos"/>
        </w:rPr>
        <w:t>6. Operational Handover &amp; Status Summary - Continued</w:t>
      </w:r>
    </w:p>
    <w:p>
      <w:pPr>
        <w:keepNext w:val="0"/>
        <w:spacing w:before="0" w:after="60" w:line="240" w:lineRule="auto"/>
      </w:pPr>
      <w:r>
        <w:rPr>
          <w:rFonts w:ascii="Aptos" w:hAnsi="Aptos"/>
        </w:rPr>
        <w:t>Use this continuation page to transfer outstanding decisions, actions, stakeholder updates, resources and records. The incoming lead should confirm what must happen next and where the supporting information can be found.</w:t>
      </w:r>
    </w:p>
    <w:p>
      <w:pPr>
        <w:pStyle w:val="SmallHead"/>
        <w:keepNext/>
        <w:spacing w:before="20" w:after="40" w:line="240" w:lineRule="auto"/>
      </w:pPr>
      <w:r>
        <w:rPr>
          <w:rFonts w:ascii="Aptos" w:hAnsi="Aptos"/>
        </w:rPr>
        <w:t>Outstanding decisions and actions</w:t>
      </w:r>
    </w:p>
    <w:tbl>
      <w:tblPr>
        <w:tblW w:type="auto" w:w="0"/>
        <w:jc w:val="center"/>
        <w:tblLayout w:type="fixed"/>
        <w:tblLook w:firstColumn="1" w:firstRow="1" w:lastColumn="0" w:lastRow="0" w:noHBand="0" w:noVBand="1" w:val="04A0"/>
      </w:tblPr>
      <w:tblGrid>
        <w:gridCol w:w="2880"/>
        <w:gridCol w:w="2880"/>
        <w:gridCol w:w="2880"/>
        <w:gridCol w:w="2880"/>
        <w:gridCol w:w="2880"/>
      </w:tblGrid>
      <w:tr>
        <w:trPr>
          <w:cantSplit/>
          <w:trHeight w:val="418" w:hRule="atLeast"/>
          <w:tblHeader w:val="true"/>
        </w:trPr>
        <w:tc>
          <w:tcPr>
            <w:tcW w:type="dxa" w:w="1007"/>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Ref.</w:t>
            </w:r>
          </w:p>
        </w:tc>
        <w:tc>
          <w:tcPr>
            <w:tcW w:type="dxa" w:w="475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What Remains Outstanding</w:t>
            </w:r>
          </w:p>
        </w:tc>
        <w:tc>
          <w:tcPr>
            <w:tcW w:type="dxa" w:w="259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Owner / Decision-Maker</w:t>
            </w:r>
          </w:p>
        </w:tc>
        <w:tc>
          <w:tcPr>
            <w:tcW w:type="dxa" w:w="216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Due / Next Review</w:t>
            </w:r>
          </w:p>
        </w:tc>
        <w:tc>
          <w:tcPr>
            <w:tcW w:type="dxa" w:w="388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Related Log / Evidence</w:t>
            </w:r>
          </w:p>
        </w:tc>
      </w:tr>
      <w:tr>
        <w:trPr>
          <w:cantSplit/>
          <w:trHeight w:val="418" w:hRule="atLeast"/>
        </w:trPr>
        <w:tc>
          <w:tcPr>
            <w:tcW w:type="dxa" w:w="1007"/>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16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18" w:hRule="atLeast"/>
        </w:trPr>
        <w:tc>
          <w:tcPr>
            <w:tcW w:type="dxa" w:w="1007"/>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16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18" w:hRule="atLeast"/>
        </w:trPr>
        <w:tc>
          <w:tcPr>
            <w:tcW w:type="dxa" w:w="1007"/>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16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18" w:hRule="atLeast"/>
        </w:trPr>
        <w:tc>
          <w:tcPr>
            <w:tcW w:type="dxa" w:w="1007"/>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47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59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16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bl>
    <w:p>
      <w:pPr>
        <w:keepNext w:val="0"/>
        <w:spacing w:before="0" w:after="20" w:line="240" w:lineRule="auto"/>
      </w:pPr>
    </w:p>
    <w:p>
      <w:pPr>
        <w:pStyle w:val="SmallHead"/>
        <w:keepNext/>
        <w:spacing w:before="20" w:after="40" w:line="240" w:lineRule="auto"/>
      </w:pPr>
      <w:r>
        <w:rPr>
          <w:rFonts w:ascii="Aptos" w:hAnsi="Aptos"/>
        </w:rPr>
        <w:t>Next stakeholder updates and external commitments</w:t>
      </w:r>
    </w:p>
    <w:tbl>
      <w:tblPr>
        <w:tblW w:type="auto" w:w="0"/>
        <w:jc w:val="center"/>
        <w:tblLayout w:type="fixed"/>
        <w:tblLook w:firstColumn="1" w:firstRow="1" w:lastColumn="0" w:lastRow="0" w:noHBand="0" w:noVBand="1" w:val="04A0"/>
      </w:tblPr>
      <w:tblGrid>
        <w:gridCol w:w="2880"/>
        <w:gridCol w:w="2880"/>
        <w:gridCol w:w="2880"/>
        <w:gridCol w:w="2880"/>
        <w:gridCol w:w="2880"/>
      </w:tblGrid>
      <w:tr>
        <w:trPr>
          <w:cantSplit/>
          <w:trHeight w:val="403" w:hRule="atLeast"/>
          <w:tblHeader w:val="true"/>
        </w:trPr>
        <w:tc>
          <w:tcPr>
            <w:tcW w:type="dxa" w:w="230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Audience / Party</w:t>
            </w:r>
          </w:p>
        </w:tc>
        <w:tc>
          <w:tcPr>
            <w:tcW w:type="dxa" w:w="460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Update, Instruction or Commitment Due</w:t>
            </w:r>
          </w:p>
        </w:tc>
        <w:tc>
          <w:tcPr>
            <w:tcW w:type="dxa" w:w="2015"/>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Due Date / Time</w:t>
            </w:r>
          </w:p>
        </w:tc>
        <w:tc>
          <w:tcPr>
            <w:tcW w:type="dxa" w:w="244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Owner / Channel</w:t>
            </w:r>
          </w:p>
        </w:tc>
        <w:tc>
          <w:tcPr>
            <w:tcW w:type="dxa" w:w="302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Communication or Decision Ref.</w:t>
            </w:r>
          </w:p>
        </w:tc>
      </w:tr>
      <w:tr>
        <w:trPr>
          <w:cantSplit/>
          <w:trHeight w:val="403" w:hRule="atLeast"/>
        </w:trPr>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46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1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44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0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403" w:hRule="atLeast"/>
        </w:trPr>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46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1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44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0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403" w:hRule="atLeast"/>
        </w:trPr>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46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015"/>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44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02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bl>
    <w:p>
      <w:pPr>
        <w:keepNext w:val="0"/>
        <w:spacing w:before="0" w:after="20" w:line="240" w:lineRule="auto"/>
      </w:pPr>
    </w:p>
    <w:p>
      <w:pPr>
        <w:pStyle w:val="SmallHead"/>
        <w:keepNext/>
        <w:spacing w:before="20" w:after="40" w:line="240" w:lineRule="auto"/>
      </w:pPr>
      <w:r>
        <w:rPr>
          <w:rFonts w:ascii="Aptos" w:hAnsi="Aptos"/>
        </w:rPr>
        <w:t>Resource, financial and record handoff</w:t>
      </w:r>
    </w:p>
    <w:tbl>
      <w:tblPr>
        <w:tblW w:type="auto" w:w="0"/>
        <w:jc w:val="center"/>
        <w:tblLayout w:type="fixed"/>
        <w:tblLook w:firstColumn="1" w:firstRow="1" w:lastColumn="0" w:lastRow="0" w:noHBand="0" w:noVBand="1" w:val="04A0"/>
      </w:tblPr>
      <w:tblGrid>
        <w:gridCol w:w="2880"/>
        <w:gridCol w:w="2880"/>
        <w:gridCol w:w="2880"/>
        <w:gridCol w:w="2880"/>
        <w:gridCol w:w="2880"/>
      </w:tblGrid>
      <w:tr>
        <w:trPr>
          <w:cantSplit/>
          <w:trHeight w:val="389" w:hRule="atLeast"/>
          <w:tblHeader w:val="true"/>
        </w:trPr>
        <w:tc>
          <w:tcPr>
            <w:tcW w:type="dxa" w:w="230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Area</w:t>
            </w:r>
          </w:p>
        </w:tc>
        <w:tc>
          <w:tcPr>
            <w:tcW w:type="dxa" w:w="3816"/>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Current Position</w:t>
            </w:r>
          </w:p>
        </w:tc>
        <w:tc>
          <w:tcPr>
            <w:tcW w:type="dxa" w:w="3816"/>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Immediate Need / Constraint</w:t>
            </w:r>
          </w:p>
        </w:tc>
        <w:tc>
          <w:tcPr>
            <w:tcW w:type="dxa" w:w="172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Owner</w:t>
            </w:r>
          </w:p>
        </w:tc>
        <w:tc>
          <w:tcPr>
            <w:tcW w:type="dxa" w:w="2736"/>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Record Location / Ref.</w:t>
            </w:r>
          </w:p>
        </w:tc>
      </w:tr>
      <w:tr>
        <w:trPr>
          <w:cantSplit/>
          <w:trHeight w:val="389" w:hRule="atLeast"/>
        </w:trPr>
        <w:tc>
          <w:tcPr>
            <w:tcW w:type="dxa" w:w="230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People / staffing</w:t>
            </w:r>
          </w:p>
        </w:tc>
        <w:tc>
          <w:tcPr>
            <w:tcW w:type="dxa" w:w="381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81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389" w:hRule="atLeast"/>
        </w:trPr>
        <w:tc>
          <w:tcPr>
            <w:tcW w:type="dxa" w:w="230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Premises / utilities / technology</w:t>
            </w:r>
          </w:p>
        </w:tc>
        <w:tc>
          <w:tcPr>
            <w:tcW w:type="dxa" w:w="381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81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389" w:hRule="atLeast"/>
        </w:trPr>
        <w:tc>
          <w:tcPr>
            <w:tcW w:type="dxa" w:w="230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Suppliers, logistics and financial commitments</w:t>
            </w:r>
          </w:p>
        </w:tc>
        <w:tc>
          <w:tcPr>
            <w:tcW w:type="dxa" w:w="381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81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389" w:hRule="atLeast"/>
        </w:trPr>
        <w:tc>
          <w:tcPr>
            <w:tcW w:type="dxa" w:w="2304"/>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Logs, evidence and secure files</w:t>
            </w:r>
          </w:p>
        </w:tc>
        <w:tc>
          <w:tcPr>
            <w:tcW w:type="dxa" w:w="381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81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bl>
    <w:p>
      <w:pPr>
        <w:keepNext w:val="0"/>
        <w:spacing w:before="0" w:after="20" w:line="240" w:lineRule="auto"/>
      </w:pPr>
    </w:p>
    <w:tbl>
      <w:tblPr>
        <w:tblW w:type="auto" w:w="0"/>
        <w:jc w:val="center"/>
        <w:tblLayout w:type="fixed"/>
        <w:tblLook w:firstColumn="1" w:firstRow="1" w:lastColumn="0" w:lastRow="0" w:noHBand="0" w:noVBand="1" w:val="04A0"/>
      </w:tblPr>
      <w:tblGrid>
        <w:gridCol w:w="14400"/>
      </w:tblGrid>
      <w:tr>
        <w:tc>
          <w:tcPr>
            <w:tcW w:type="dxa" w:w="14400"/>
            <w:shd w:fill="E6F1E4"/>
            <w:tcMar>
              <w:top w:w="85" w:type="dxa"/>
              <w:start w:w="110" w:type="dxa"/>
              <w:bottom w:w="85" w:type="dxa"/>
              <w:end w:w="110" w:type="dxa"/>
            </w:tcMar>
            <w:tcBorders>
              <w:top w:val="single" w:sz="0" w:space="0" w:color="E6F1E4"/>
              <w:start w:val="single" w:sz="0" w:space="0" w:color="E6F1E4"/>
              <w:bottom w:val="single" w:sz="0" w:space="0" w:color="E6F1E4"/>
              <w:end w:val="single" w:sz="0" w:space="0" w:color="E6F1E4"/>
            </w:tcBorders>
          </w:tcPr>
          <w:p>
            <w:pPr>
              <w:spacing w:before="0" w:after="0" w:line="240" w:lineRule="auto"/>
            </w:pPr>
            <w:r>
              <w:rPr>
                <w:rFonts w:ascii="Aptos" w:hAnsi="Aptos"/>
              </w:rPr>
            </w:r>
            <w:r>
              <w:rPr>
                <w:rFonts w:ascii="Aptos" w:hAnsi="Aptos"/>
                <w:b/>
                <w:i w:val="0"/>
                <w:color w:val="183B56"/>
                <w:sz w:val="17"/>
              </w:rPr>
              <w:t>Handover confirmation</w:t>
            </w:r>
            <w:r>
              <w:rPr>
                <w:rFonts w:ascii="Aptos" w:hAnsi="Aptos"/>
                <w:b w:val="0"/>
                <w:i w:val="0"/>
                <w:color w:val="1F2B33"/>
                <w:sz w:val="16"/>
              </w:rPr>
              <w:br/>
              <w:t>Incoming lead confirms that the current situation, activation level, critical-function status, pending decisions, outstanding actions, next stakeholder updates, financial commitments and record locations have been reviewed.</w:t>
            </w:r>
          </w:p>
        </w:tc>
      </w:tr>
    </w:tbl>
    <w:p>
      <w:pPr>
        <w:keepNext w:val="0"/>
        <w:spacing w:before="0" w:after="20" w:line="240" w:lineRule="auto"/>
      </w:pPr>
    </w:p>
    <w:p>
      <w:pPr>
        <w:pageBreakBefore w:val="1"/>
        <w:spacing w:after="0"/>
      </w:pPr>
    </w:p>
    <w:p>
      <w:pPr>
        <w:pStyle w:val="SectionHead"/>
        <w:keepNext/>
        <w:spacing w:before="0" w:after="60" w:line="240" w:lineRule="auto"/>
      </w:pPr>
      <w:r>
        <w:rPr>
          <w:rFonts w:ascii="Aptos" w:hAnsi="Aptos"/>
        </w:rPr>
        <w:t>7. Event Closeout &amp; Record Review</w:t>
      </w:r>
    </w:p>
    <w:p>
      <w:pPr>
        <w:keepNext w:val="0"/>
        <w:spacing w:before="0" w:after="60" w:line="240" w:lineRule="auto"/>
      </w:pPr>
      <w:r>
        <w:rPr>
          <w:rFonts w:ascii="Aptos" w:hAnsi="Aptos"/>
        </w:rPr>
        <w:t>Before the Business Continuity Plan is deactivated or the event record is closed, confirm the operational transition, unresolved obligations, record completeness and the transfer of Lessons Identified and corrective actions.</w:t>
      </w:r>
    </w:p>
    <w:p>
      <w:pPr>
        <w:pStyle w:val="SmallHead"/>
        <w:keepNext/>
        <w:spacing w:before="20" w:after="40" w:line="240" w:lineRule="auto"/>
      </w:pPr>
      <w:r>
        <w:rPr>
          <w:rFonts w:ascii="Aptos" w:hAnsi="Aptos"/>
        </w:rPr>
        <w:t>Deactivation and transition</w:t>
      </w:r>
    </w:p>
    <w:tbl>
      <w:tblPr>
        <w:tblW w:type="auto" w:w="0"/>
        <w:jc w:val="center"/>
        <w:tblLayout w:type="fixed"/>
        <w:tblLook w:firstColumn="1" w:firstRow="1" w:lastColumn="0" w:lastRow="0" w:noHBand="0" w:noVBand="1" w:val="04A0"/>
      </w:tblPr>
      <w:tblGrid>
        <w:gridCol w:w="3600"/>
        <w:gridCol w:w="3600"/>
        <w:gridCol w:w="3600"/>
        <w:gridCol w:w="3600"/>
      </w:tblGrid>
      <w:tr>
        <w:trPr>
          <w:cantSplit/>
          <w:trHeight w:val="518" w:hRule="atLeast"/>
        </w:trPr>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Date / time deactivated</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Authorized by</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Transition status</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Normal operations / recovery operations / other</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Remaining limitations</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Owner of remaining recovery work</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Next management review</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Next BCP review / test</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518" w:hRule="atLeast"/>
        </w:trPr>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Final record custodian</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23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Secure archive / file location</w:t>
            </w:r>
          </w:p>
        </w:tc>
        <w:tc>
          <w:tcPr>
            <w:tcW w:type="dxa" w:w="49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bl>
    <w:p>
      <w:pPr>
        <w:keepNext w:val="0"/>
        <w:spacing w:before="0" w:after="20" w:line="240" w:lineRule="auto"/>
      </w:pPr>
    </w:p>
    <w:p>
      <w:pPr>
        <w:pStyle w:val="SmallHead"/>
        <w:keepNext/>
        <w:spacing w:before="20" w:after="40" w:line="240" w:lineRule="auto"/>
      </w:pPr>
      <w:r>
        <w:rPr>
          <w:rFonts w:ascii="Aptos" w:hAnsi="Aptos"/>
        </w:rPr>
        <w:t>Record completeness and ownership</w:t>
      </w:r>
    </w:p>
    <w:tbl>
      <w:tblPr>
        <w:tblW w:type="auto" w:w="0"/>
        <w:jc w:val="center"/>
        <w:tblLayout w:type="fixed"/>
        <w:tblLook w:firstColumn="1" w:firstRow="1" w:lastColumn="0" w:lastRow="0" w:noHBand="0" w:noVBand="1" w:val="04A0"/>
      </w:tblPr>
      <w:tblGrid>
        <w:gridCol w:w="2880"/>
        <w:gridCol w:w="2880"/>
        <w:gridCol w:w="2880"/>
        <w:gridCol w:w="2880"/>
        <w:gridCol w:w="2880"/>
      </w:tblGrid>
      <w:tr>
        <w:trPr>
          <w:cantSplit/>
          <w:trHeight w:val="461" w:hRule="atLeast"/>
          <w:tblHeader w:val="true"/>
        </w:trPr>
        <w:tc>
          <w:tcPr>
            <w:tcW w:type="dxa" w:w="3456"/>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Record / Evidence</w:t>
            </w:r>
          </w:p>
        </w:tc>
        <w:tc>
          <w:tcPr>
            <w:tcW w:type="dxa" w:w="115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Complete?</w:t>
            </w:r>
          </w:p>
        </w:tc>
        <w:tc>
          <w:tcPr>
            <w:tcW w:type="dxa" w:w="230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Responsible Owner</w:t>
            </w:r>
          </w:p>
        </w:tc>
        <w:tc>
          <w:tcPr>
            <w:tcW w:type="dxa" w:w="388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Secure Location / Reference</w:t>
            </w:r>
          </w:p>
        </w:tc>
        <w:tc>
          <w:tcPr>
            <w:tcW w:type="dxa" w:w="360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Follow-Up Required</w:t>
            </w:r>
          </w:p>
        </w:tc>
      </w:tr>
      <w:tr>
        <w:trPr>
          <w:cantSplit/>
          <w:trHeight w:val="461" w:hRule="atLeast"/>
        </w:trPr>
        <w:tc>
          <w:tcPr>
            <w:tcW w:type="dxa" w:w="3456"/>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Situation / Event Log</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Yes  ☐ No</w:t>
            </w:r>
          </w:p>
        </w:tc>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6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61" w:hRule="atLeast"/>
        </w:trPr>
        <w:tc>
          <w:tcPr>
            <w:tcW w:type="dxa" w:w="3456"/>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Decision &amp; Authorization Log</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Yes  ☐ No</w:t>
            </w:r>
          </w:p>
        </w:tc>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6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61" w:hRule="atLeast"/>
        </w:trPr>
        <w:tc>
          <w:tcPr>
            <w:tcW w:type="dxa" w:w="3456"/>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Action &amp; Follow-Up Tracker</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Yes  ☐ No</w:t>
            </w:r>
          </w:p>
        </w:tc>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6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61" w:hRule="atLeast"/>
        </w:trPr>
        <w:tc>
          <w:tcPr>
            <w:tcW w:type="dxa" w:w="3456"/>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Emergency Expenditure / finance records</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Yes  ☐ No</w:t>
            </w:r>
          </w:p>
        </w:tc>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6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61" w:hRule="atLeast"/>
        </w:trPr>
        <w:tc>
          <w:tcPr>
            <w:tcW w:type="dxa" w:w="3456"/>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Communication Log and issued messages</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Yes  ☐ No</w:t>
            </w:r>
          </w:p>
        </w:tc>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6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61" w:hRule="atLeast"/>
        </w:trPr>
        <w:tc>
          <w:tcPr>
            <w:tcW w:type="dxa" w:w="3456"/>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Employee accountability / staffing records</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Yes  ☐ No</w:t>
            </w:r>
          </w:p>
        </w:tc>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6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61" w:hRule="atLeast"/>
        </w:trPr>
        <w:tc>
          <w:tcPr>
            <w:tcW w:type="dxa" w:w="3456"/>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Damage, loss, photographs and insurance evidence</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Yes  ☐ No</w:t>
            </w:r>
          </w:p>
        </w:tc>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6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r>
        <w:trPr>
          <w:cantSplit/>
          <w:trHeight w:val="461" w:hRule="atLeast"/>
        </w:trPr>
        <w:tc>
          <w:tcPr>
            <w:tcW w:type="dxa" w:w="3456"/>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Supplier, contract, regulatory or other supporting records</w:t>
            </w:r>
          </w:p>
        </w:tc>
        <w:tc>
          <w:tcPr>
            <w:tcW w:type="dxa" w:w="115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t>☐ Yes  ☐ No</w:t>
            </w:r>
          </w:p>
        </w:tc>
        <w:tc>
          <w:tcPr>
            <w:tcW w:type="dxa" w:w="230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388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60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r>
    </w:tbl>
    <w:p>
      <w:pPr>
        <w:pageBreakBefore w:val="1"/>
        <w:spacing w:after="0"/>
      </w:pPr>
    </w:p>
    <w:p>
      <w:pPr>
        <w:pStyle w:val="SectionHead"/>
        <w:keepNext/>
        <w:spacing w:before="0" w:after="60" w:line="240" w:lineRule="auto"/>
      </w:pPr>
      <w:r>
        <w:rPr>
          <w:rFonts w:ascii="Aptos" w:hAnsi="Aptos"/>
        </w:rPr>
        <w:t>7. Event Closeout &amp; Record Review - Improvement &amp; Sign-Off</w:t>
      </w:r>
    </w:p>
    <w:p>
      <w:pPr>
        <w:keepNext w:val="0"/>
        <w:spacing w:before="0" w:after="60" w:line="240" w:lineRule="auto"/>
      </w:pPr>
      <w:r>
        <w:rPr>
          <w:rFonts w:ascii="Aptos" w:hAnsi="Aptos"/>
        </w:rPr>
        <w:t>Move the findings from this event into plan maintenance, corrective action, reporting and retesting. The record should show not only what happened, but how the business will reduce the chance of the same weakness recurring.</w:t>
      </w:r>
    </w:p>
    <w:p>
      <w:pPr>
        <w:pStyle w:val="SmallHead"/>
        <w:keepNext/>
        <w:spacing w:before="20" w:after="40" w:line="240" w:lineRule="auto"/>
      </w:pPr>
      <w:r>
        <w:rPr>
          <w:rFonts w:ascii="Aptos" w:hAnsi="Aptos"/>
        </w:rPr>
        <w:t>Transfer findings into improvement</w:t>
      </w:r>
    </w:p>
    <w:tbl>
      <w:tblPr>
        <w:tblW w:type="auto" w:w="0"/>
        <w:jc w:val="center"/>
        <w:tblLayout w:type="fixed"/>
        <w:tblLook w:firstColumn="1" w:firstRow="1" w:lastColumn="0" w:lastRow="0" w:noHBand="0" w:noVBand="1" w:val="04A0"/>
      </w:tblPr>
      <w:tblGrid>
        <w:gridCol w:w="2400"/>
        <w:gridCol w:w="2400"/>
        <w:gridCol w:w="2400"/>
        <w:gridCol w:w="2400"/>
        <w:gridCol w:w="2400"/>
        <w:gridCol w:w="2400"/>
      </w:tblGrid>
      <w:tr>
        <w:trPr>
          <w:cantSplit/>
          <w:trHeight w:val="418" w:hRule="atLeast"/>
          <w:tblHeader w:val="true"/>
        </w:trPr>
        <w:tc>
          <w:tcPr>
            <w:tcW w:type="dxa" w:w="316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Finding / Lesson Identified</w:t>
            </w:r>
          </w:p>
        </w:tc>
        <w:tc>
          <w:tcPr>
            <w:tcW w:type="dxa" w:w="2880"/>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Plan or Arrangement to Update</w:t>
            </w:r>
          </w:p>
        </w:tc>
        <w:tc>
          <w:tcPr>
            <w:tcW w:type="dxa" w:w="3311"/>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Corrective Action</w:t>
            </w:r>
          </w:p>
        </w:tc>
        <w:tc>
          <w:tcPr>
            <w:tcW w:type="dxa" w:w="158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Owner</w:t>
            </w:r>
          </w:p>
        </w:tc>
        <w:tc>
          <w:tcPr>
            <w:tcW w:type="dxa" w:w="172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Target Date</w:t>
            </w:r>
          </w:p>
        </w:tc>
        <w:tc>
          <w:tcPr>
            <w:tcW w:type="dxa" w:w="1728"/>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Retest Required?</w:t>
            </w:r>
          </w:p>
        </w:tc>
      </w:tr>
      <w:tr>
        <w:trPr>
          <w:cantSplit/>
          <w:trHeight w:val="418" w:hRule="atLeast"/>
        </w:trPr>
        <w:tc>
          <w:tcPr>
            <w:tcW w:type="dxa" w:w="31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1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418" w:hRule="atLeast"/>
        </w:trPr>
        <w:tc>
          <w:tcPr>
            <w:tcW w:type="dxa" w:w="31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1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418" w:hRule="atLeast"/>
        </w:trPr>
        <w:tc>
          <w:tcPr>
            <w:tcW w:type="dxa" w:w="31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1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418" w:hRule="atLeast"/>
        </w:trPr>
        <w:tc>
          <w:tcPr>
            <w:tcW w:type="dxa" w:w="316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2880"/>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331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72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bl>
    <w:p>
      <w:pPr>
        <w:keepNext w:val="0"/>
        <w:spacing w:before="0" w:after="20" w:line="240" w:lineRule="auto"/>
      </w:pPr>
    </w:p>
    <w:p>
      <w:pPr>
        <w:pStyle w:val="SmallHead"/>
        <w:keepNext/>
        <w:spacing w:before="20" w:after="40" w:line="240" w:lineRule="auto"/>
      </w:pPr>
      <w:r>
        <w:rPr>
          <w:rFonts w:ascii="Aptos" w:hAnsi="Aptos"/>
        </w:rPr>
        <w:t>Management, insurance, regulatory and financial follow-up</w:t>
      </w:r>
    </w:p>
    <w:tbl>
      <w:tblPr>
        <w:tblW w:type="auto" w:w="0"/>
        <w:jc w:val="center"/>
        <w:tblLayout w:type="fixed"/>
        <w:tblLook w:firstColumn="1" w:firstRow="1" w:lastColumn="0" w:lastRow="0" w:noHBand="0" w:noVBand="1" w:val="04A0"/>
      </w:tblPr>
      <w:tblGrid>
        <w:gridCol w:w="2400"/>
        <w:gridCol w:w="2400"/>
        <w:gridCol w:w="2400"/>
        <w:gridCol w:w="2400"/>
        <w:gridCol w:w="2400"/>
        <w:gridCol w:w="2400"/>
      </w:tblGrid>
      <w:tr>
        <w:trPr>
          <w:cantSplit/>
          <w:trHeight w:val="389" w:hRule="atLeast"/>
          <w:tblHeader w:val="true"/>
        </w:trPr>
        <w:tc>
          <w:tcPr>
            <w:tcW w:type="dxa" w:w="259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Requirement / Recipient</w:t>
            </w:r>
          </w:p>
        </w:tc>
        <w:tc>
          <w:tcPr>
            <w:tcW w:type="dxa" w:w="4031"/>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Purpose or Information Required</w:t>
            </w:r>
          </w:p>
        </w:tc>
        <w:tc>
          <w:tcPr>
            <w:tcW w:type="dxa" w:w="158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Owner</w:t>
            </w:r>
          </w:p>
        </w:tc>
        <w:tc>
          <w:tcPr>
            <w:tcW w:type="dxa" w:w="1584"/>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Due Date</w:t>
            </w:r>
          </w:p>
        </w:tc>
        <w:tc>
          <w:tcPr>
            <w:tcW w:type="dxa" w:w="2736"/>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FFFFFF"/>
                <w:sz w:val="13"/>
              </w:rPr>
              <w:t>Submission / Record Ref.</w:t>
            </w:r>
          </w:p>
        </w:tc>
        <w:tc>
          <w:tcPr>
            <w:tcW w:type="dxa" w:w="1872"/>
            <w:shd w:fill="183B56"/>
            <w:tcMar>
              <w:top w:w="60" w:type="dxa"/>
              <w:start w:w="65" w:type="dxa"/>
              <w:bottom w:w="60" w:type="dxa"/>
              <w:end w:w="65"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i w:val="0"/>
                <w:color w:val="FFFFFF"/>
                <w:sz w:val="13"/>
              </w:rPr>
              <w:t>Status</w:t>
            </w:r>
          </w:p>
        </w:tc>
      </w:tr>
      <w:tr>
        <w:trPr>
          <w:cantSplit/>
          <w:trHeight w:val="389" w:hRule="atLeast"/>
        </w:trPr>
        <w:tc>
          <w:tcPr>
            <w:tcW w:type="dxa" w:w="25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Senior management / owner</w:t>
            </w:r>
          </w:p>
        </w:tc>
        <w:tc>
          <w:tcPr>
            <w:tcW w:type="dxa" w:w="403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389" w:hRule="atLeast"/>
        </w:trPr>
        <w:tc>
          <w:tcPr>
            <w:tcW w:type="dxa" w:w="25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Finance / insurer / claims</w:t>
            </w:r>
          </w:p>
        </w:tc>
        <w:tc>
          <w:tcPr>
            <w:tcW w:type="dxa" w:w="403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389" w:hRule="atLeast"/>
        </w:trPr>
        <w:tc>
          <w:tcPr>
            <w:tcW w:type="dxa" w:w="25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Government / regulator</w:t>
            </w:r>
          </w:p>
        </w:tc>
        <w:tc>
          <w:tcPr>
            <w:tcW w:type="dxa" w:w="403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389" w:hRule="atLeast"/>
        </w:trPr>
        <w:tc>
          <w:tcPr>
            <w:tcW w:type="dxa" w:w="25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Supplier / contract follow-up</w:t>
            </w:r>
          </w:p>
        </w:tc>
        <w:tc>
          <w:tcPr>
            <w:tcW w:type="dxa" w:w="403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r>
        <w:trPr>
          <w:cantSplit/>
          <w:trHeight w:val="389" w:hRule="atLeast"/>
        </w:trPr>
        <w:tc>
          <w:tcPr>
            <w:tcW w:type="dxa" w:w="2592"/>
            <w:shd w:fill="F6F8F9"/>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1F2B33"/>
                <w:sz w:val="14"/>
              </w:rPr>
              <w:t>Employee or customer follow-up</w:t>
            </w:r>
          </w:p>
        </w:tc>
        <w:tc>
          <w:tcPr>
            <w:tcW w:type="dxa" w:w="4031"/>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15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c>
          <w:tcPr>
            <w:tcW w:type="dxa" w:w="2736"/>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4"/>
              </w:rPr>
            </w:r>
          </w:p>
        </w:tc>
        <w:tc>
          <w:tcPr>
            <w:tcW w:type="dxa" w:w="1872"/>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center"/>
            </w:pPr>
            <w:r>
              <w:rPr>
                <w:rFonts w:ascii="Aptos" w:hAnsi="Aptos"/>
              </w:rPr>
            </w:r>
            <w:r>
              <w:rPr>
                <w:rFonts w:ascii="Aptos" w:hAnsi="Aptos"/>
                <w:b w:val="0"/>
                <w:i w:val="0"/>
                <w:color w:val="1F2B33"/>
                <w:sz w:val="14"/>
              </w:rPr>
            </w:r>
          </w:p>
        </w:tc>
      </w:tr>
    </w:tbl>
    <w:p>
      <w:pPr>
        <w:keepNext w:val="0"/>
        <w:spacing w:before="0" w:after="20" w:line="240" w:lineRule="auto"/>
      </w:pPr>
    </w:p>
    <w:tbl>
      <w:tblPr>
        <w:tblW w:type="auto" w:w="0"/>
        <w:jc w:val="center"/>
        <w:tblLayout w:type="fixed"/>
        <w:tblLook w:firstColumn="1" w:firstRow="1" w:lastColumn="0" w:lastRow="0" w:noHBand="0" w:noVBand="1" w:val="04A0"/>
      </w:tblPr>
      <w:tblGrid>
        <w:gridCol w:w="14400"/>
      </w:tblGrid>
      <w:tr>
        <w:tc>
          <w:tcPr>
            <w:tcW w:type="dxa" w:w="14400"/>
            <w:shd w:fill="F7E8B2"/>
            <w:tcMar>
              <w:top w:w="85" w:type="dxa"/>
              <w:start w:w="110" w:type="dxa"/>
              <w:bottom w:w="85" w:type="dxa"/>
              <w:end w:w="110" w:type="dxa"/>
            </w:tcMar>
            <w:tcBorders>
              <w:top w:val="single" w:sz="0" w:space="0" w:color="F7E8B2"/>
              <w:start w:val="single" w:sz="0" w:space="0" w:color="F7E8B2"/>
              <w:bottom w:val="single" w:sz="0" w:space="0" w:color="F7E8B2"/>
              <w:end w:val="single" w:sz="0" w:space="0" w:color="F7E8B2"/>
            </w:tcBorders>
          </w:tcPr>
          <w:p>
            <w:pPr>
              <w:spacing w:before="0" w:after="0" w:line="240" w:lineRule="auto"/>
            </w:pPr>
            <w:r>
              <w:rPr>
                <w:rFonts w:ascii="Aptos" w:hAnsi="Aptos"/>
              </w:rPr>
            </w:r>
            <w:r>
              <w:rPr>
                <w:rFonts w:ascii="Aptos" w:hAnsi="Aptos"/>
                <w:b/>
                <w:i w:val="0"/>
                <w:color w:val="183B56"/>
                <w:sz w:val="17"/>
              </w:rPr>
              <w:t>Close the record; continue the improvement</w:t>
            </w:r>
            <w:r>
              <w:rPr>
                <w:rFonts w:ascii="Aptos" w:hAnsi="Aptos"/>
                <w:b w:val="0"/>
                <w:i w:val="0"/>
                <w:color w:val="1F2B33"/>
                <w:sz w:val="16"/>
              </w:rPr>
              <w:br/>
              <w:t>Transfer detailed findings to the Business Continuity Exercise &amp; Lessons Identified Tool and priority improvements to the 30/60/90-Day Business Continuity Action Plan. A completed log is evidence of what happened. Resilience improves when the resulting corrective actions are implemented, tested and maintained.</w:t>
            </w:r>
          </w:p>
        </w:tc>
      </w:tr>
    </w:tbl>
    <w:p>
      <w:pPr>
        <w:keepNext w:val="0"/>
        <w:spacing w:before="0" w:after="20" w:line="240" w:lineRule="auto"/>
      </w:pPr>
    </w:p>
    <w:p>
      <w:pPr>
        <w:pStyle w:val="SmallHead"/>
        <w:keepNext/>
        <w:spacing w:before="20" w:after="40" w:line="240" w:lineRule="auto"/>
      </w:pPr>
      <w:r>
        <w:rPr>
          <w:rFonts w:ascii="Aptos" w:hAnsi="Aptos"/>
        </w:rPr>
        <w:t>Final review and sign-off</w:t>
      </w:r>
    </w:p>
    <w:tbl>
      <w:tblPr>
        <w:tblW w:type="auto" w:w="0"/>
        <w:jc w:val="center"/>
        <w:tblLayout w:type="fixed"/>
        <w:tblLook w:firstColumn="1" w:firstRow="1" w:lastColumn="0" w:lastRow="0" w:noHBand="0" w:noVBand="1" w:val="04A0"/>
      </w:tblPr>
      <w:tblGrid>
        <w:gridCol w:w="3600"/>
        <w:gridCol w:w="3600"/>
        <w:gridCol w:w="3600"/>
        <w:gridCol w:w="3600"/>
      </w:tblGrid>
      <w:tr>
        <w:trPr>
          <w:cantSplit/>
          <w:trHeight w:val="490" w:hRule="atLeast"/>
        </w:trPr>
        <w:tc>
          <w:tcPr>
            <w:tcW w:type="dxa" w:w="2015"/>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Reviewed by</w:t>
            </w:r>
          </w:p>
        </w:tc>
        <w:tc>
          <w:tcPr>
            <w:tcW w:type="dxa" w:w="51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59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Date / time</w:t>
            </w:r>
          </w:p>
        </w:tc>
        <w:tc>
          <w:tcPr>
            <w:tcW w:type="dxa" w:w="46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r>
        <w:trPr>
          <w:cantSplit/>
          <w:trHeight w:val="490" w:hRule="atLeast"/>
        </w:trPr>
        <w:tc>
          <w:tcPr>
            <w:tcW w:type="dxa" w:w="2015"/>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Approved / closed by</w:t>
            </w:r>
          </w:p>
        </w:tc>
        <w:tc>
          <w:tcPr>
            <w:tcW w:type="dxa" w:w="5184"/>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c>
          <w:tcPr>
            <w:tcW w:type="dxa" w:w="2592"/>
            <w:shd w:fill="EAF1F4"/>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i w:val="0"/>
                <w:color w:val="2B6F73"/>
                <w:sz w:val="15"/>
              </w:rPr>
              <w:t>Next improvement review / responsible person</w:t>
            </w:r>
          </w:p>
        </w:tc>
        <w:tc>
          <w:tcPr>
            <w:tcW w:type="dxa" w:w="4608"/>
            <w:shd w:fill="FFFFFF"/>
            <w:tcMar>
              <w:top w:w="70" w:type="dxa"/>
              <w:start w:w="90" w:type="dxa"/>
              <w:bottom w:w="70" w:type="dxa"/>
              <w:end w:w="90" w:type="dxa"/>
            </w:tcMar>
            <w:vAlign w:val="center"/>
            <w:tcBorders>
              <w:top w:val="single" w:sz="6" w:space="0" w:color="AFC4D1"/>
              <w:start w:val="single" w:sz="6" w:space="0" w:color="AFC4D1"/>
              <w:bottom w:val="single" w:sz="6" w:space="0" w:color="AFC4D1"/>
              <w:end w:val="single" w:sz="6" w:space="0" w:color="AFC4D1"/>
            </w:tcBorders>
          </w:tcPr>
          <w:p>
            <w:pPr>
              <w:spacing w:before="0" w:after="0" w:line="240" w:lineRule="auto"/>
              <w:jc w:val="left"/>
            </w:pPr>
            <w:r>
              <w:rPr>
                <w:rFonts w:ascii="Aptos" w:hAnsi="Aptos"/>
              </w:rPr>
            </w:r>
            <w:r>
              <w:rPr>
                <w:rFonts w:ascii="Aptos" w:hAnsi="Aptos"/>
                <w:b w:val="0"/>
                <w:i w:val="0"/>
                <w:color w:val="1F2B33"/>
                <w:sz w:val="16"/>
              </w:rPr>
            </w:r>
          </w:p>
        </w:tc>
      </w:tr>
    </w:tbl>
    <w:p>
      <w:r>
        <w:br w:type="page"/>
      </w:r>
    </w:p>
    <w:p>
      <w:pPr>
        <w:spacing w:before="0" w:after="40"/>
      </w:pPr>
      <w:r>
        <w:rPr>
          <w:rFonts w:ascii="Arial" w:hAnsi="Arial" w:eastAsia="Arial"/>
          <w:b/>
          <w:i w:val="0"/>
          <w:color w:val="0893B5"/>
          <w:sz w:val="16"/>
        </w:rPr>
        <w:t>BUSINESS RESILIENCE STARTER KIT</w:t>
      </w:r>
    </w:p>
    <w:p>
      <w:pPr>
        <w:spacing w:before="0" w:after="80"/>
      </w:pPr>
      <w:r>
        <w:rPr>
          <w:rFonts w:ascii="Arial" w:hAnsi="Arial" w:eastAsia="Arial"/>
          <w:b/>
          <w:i w:val="0"/>
          <w:color w:val="08304A"/>
          <w:sz w:val="36"/>
        </w:rPr>
        <w:t>Use and Reproduction Notice</w:t>
      </w:r>
    </w:p>
    <w:p>
      <w:pPr>
        <w:spacing w:before="0" w:after="240"/>
      </w:pPr>
      <w:r>
        <w:rPr>
          <w:rFonts w:ascii="Arial" w:hAnsi="Arial" w:eastAsia="Arial"/>
          <w:b/>
          <w:i w:val="0"/>
          <w:color w:val="687682"/>
          <w:sz w:val="16"/>
        </w:rPr>
        <w:t>Version 1.0 | September 2026</w:t>
      </w:r>
    </w:p>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60" w:type="dxa"/>
              <w:start w:w="180" w:type="dxa"/>
              <w:bottom w:w="160" w:type="dxa"/>
              <w:end w:w="180" w:type="dxa"/>
            </w:tcMar>
            <w:shd w:fill="EAF4F7"/>
          </w:tcPr>
          <w:p>
            <w:pPr>
              <w:spacing w:before="0" w:after="160" w:line="252" w:lineRule="auto"/>
            </w:pPr>
            <w:r>
              <w:rPr>
                <w:rFonts w:ascii="Arial" w:hAnsi="Arial" w:eastAsia="Arial"/>
                <w:b w:val="0"/>
                <w:i w:val="0"/>
                <w:color w:val="08304A"/>
                <w:sz w:val="19"/>
              </w:rPr>
              <w:t>This tool has been developed by the Disaster Risk Management Authority (DRM Authority) of The Bahamas as part of its Business Resilience Programme and is provided to support practical business continuity and resilience planning.</w:t>
            </w:r>
          </w:p>
          <w:p>
            <w:pPr>
              <w:spacing w:before="0" w:after="160" w:line="252" w:lineRule="auto"/>
            </w:pPr>
            <w:r>
              <w:rPr>
                <w:rFonts w:ascii="Arial" w:hAnsi="Arial" w:eastAsia="Arial"/>
                <w:b w:val="0"/>
                <w:i w:val="0"/>
                <w:color w:val="08304A"/>
                <w:sz w:val="19"/>
              </w:rPr>
              <w:t>Businesses and organizations may reproduce and adapt this tool for their own internal business continuity and resilience planning, provided that attribution to the DRM Authority and any applicable third-party acknowledgements are retained.</w:t>
            </w:r>
          </w:p>
          <w:p>
            <w:pPr>
              <w:spacing w:before="0" w:after="160" w:line="252" w:lineRule="auto"/>
            </w:pPr>
            <w:r>
              <w:rPr>
                <w:rFonts w:ascii="Arial" w:hAnsi="Arial" w:eastAsia="Arial"/>
                <w:b w:val="0"/>
                <w:i w:val="0"/>
                <w:color w:val="08304A"/>
                <w:sz w:val="19"/>
              </w:rPr>
              <w:t>This tool, its templates, or any substantial portion of them may not be sold, rebranded, republished, incorporated into a commercial product, or used to deliver paid training, facilitation, consultancy or other commercial services without the prior written permission of the DRM Authority.</w:t>
            </w:r>
          </w:p>
          <w:p>
            <w:pPr>
              <w:spacing w:before="0" w:after="160" w:line="252" w:lineRule="auto"/>
            </w:pPr>
            <w:r>
              <w:rPr>
                <w:rFonts w:ascii="Arial" w:hAnsi="Arial" w:eastAsia="Arial"/>
                <w:b w:val="0"/>
                <w:i w:val="0"/>
                <w:color w:val="08304A"/>
                <w:sz w:val="19"/>
              </w:rPr>
              <w:t>Use of this material does not imply endorsement, accreditation or certification by the DRM Authority. Third-party material, where identified, remains subject to the rights and terms of its respective owner.</w:t>
            </w:r>
          </w:p>
        </w:tc>
      </w:tr>
    </w:tbl>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00" w:type="dxa"/>
              <w:start w:w="160" w:type="dxa"/>
              <w:bottom w:w="100" w:type="dxa"/>
              <w:end w:w="160" w:type="dxa"/>
            </w:tcMar>
            <w:shd w:fill="F8EAB8"/>
          </w:tcPr>
          <w:p>
            <w:pPr>
              <w:spacing w:before="0" w:after="0"/>
              <w:jc w:val="center"/>
            </w:pPr>
            <w:r>
              <w:rPr>
                <w:rFonts w:ascii="Arial" w:hAnsi="Arial" w:eastAsia="Arial"/>
                <w:b/>
                <w:i w:val="0"/>
                <w:color w:val="08304A"/>
                <w:sz w:val="19"/>
              </w:rPr>
              <w:t>Internal adaptation is permitted. Commercial reuse requires prior written permission.</w:t>
            </w:r>
          </w:p>
        </w:tc>
      </w:tr>
    </w:tbl>
    <w:sectPr w:rsidR="00FC693F" w:rsidRPr="0006063C" w:rsidSect="00034616">
      <w:footerReference w:type="default" r:id="rId9"/>
      <w:headerReference w:type="default" r:id="rId11"/>
      <w:headerReference w:type="first" r:id="rId12"/>
      <w:footerReference w:type="first" r:id="rId13"/>
      <w:pgSz w:w="15840" w:h="12240" w:orient="landscape"/>
      <w:pgMar w:top="648" w:right="720" w:bottom="648" w:left="720" w:header="43" w:footer="5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164"/>
          <w:gridCol w:w="7164"/>
        </w:tblGrid>
        <w:tr>
          <w:tc>
            <w:tcPr>
              <w:tcW w:type="dxa" w:w="2951"/>
              <w:tcMar>
                <w:top w:w="0" w:type="dxa"/>
                <w:start w:w="0" w:type="dxa"/>
                <w:bottom w:w="0" w:type="dxa"/>
                <w:end w:w="40" w:type="dxa"/>
              </w:tcMar>
              <w:vAlign w:val="center"/>
            </w:tcPr>
            <w:p>
              <w:pPr>
                <w:spacing w:before="0" w:after="0"/>
                <w:jc w:val="left"/>
              </w:pPr>
              <w:r>
                <w:drawing>
                  <wp:inline xmlns:a="http://schemas.openxmlformats.org/drawingml/2006/main" xmlns:pic="http://schemas.openxmlformats.org/drawingml/2006/picture">
                    <wp:extent cx="1170432" cy="365760"/>
                    <wp:docPr id="1" name="Picture 1"/>
                    <wp:cNvGraphicFramePr>
                      <a:graphicFrameLocks noChangeAspect="1"/>
                    </wp:cNvGraphicFramePr>
                    <a:graphic>
                      <a:graphicData uri="http://schemas.openxmlformats.org/drawingml/2006/picture">
                        <pic:pic>
                          <pic:nvPicPr>
                            <pic:cNvPr id="0" name="A_DRMLogo-FULL.png"/>
                            <pic:cNvPicPr/>
                          </pic:nvPicPr>
                          <pic:blipFill>
                            <a:blip r:embed="rId1"/>
                            <a:stretch>
                              <a:fillRect/>
                            </a:stretch>
                          </pic:blipFill>
                          <pic:spPr>
                            <a:xfrm>
                              <a:off x="0" y="0"/>
                              <a:ext cx="1170432" cy="365760"/>
                            </a:xfrm>
                            <a:prstGeom prst="rect"/>
                          </pic:spPr>
                        </pic:pic>
                      </a:graphicData>
                    </a:graphic>
                  </wp:inline>
                </w:drawing>
              </w:r>
            </w:p>
          </w:tc>
          <w:tc>
            <w:tcPr>
              <w:tcW w:type="dxa" w:w="11376"/>
              <w:tcMar>
                <w:top w:w="0" w:type="dxa"/>
                <w:start w:w="40" w:type="dxa"/>
                <w:bottom w:w="0" w:type="dxa"/>
                <w:end w:w="0" w:type="dxa"/>
              </w:tcMar>
              <w:vAlign w:val="center"/>
            </w:tcPr>
            <w:p>
              <w:pPr>
                <w:spacing w:before="0" w:after="0"/>
                <w:jc w:val="right"/>
              </w:pPr>
              <w:r>
                <w:rPr>
                  <w:rFonts w:ascii="Arial" w:hAnsi="Arial" w:eastAsia="Arial"/>
                  <w:b/>
                  <w:i w:val="0"/>
                  <w:color w:val="08304A"/>
                  <w:sz w:val="15"/>
                </w:rPr>
                <w:t>Event &amp; Decision Log Pack</w:t>
              </w:r>
            </w:p>
          </w:tc>
        </w:tr>
      </w:tbl>
    </w:sdtContent>
  </w:sdt>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spacing w:after="8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Title">
    <w:name w:val="ToolkitTitle"/>
    <w:pPr>
      <w:keepLines w:val="0"/>
      <w:spacing w:after="80"/>
    </w:pPr>
    <w:rPr>
      <w:rFonts w:ascii="Aptos" w:hAnsi="Aptos"/>
      <w:b/>
      <w:color w:val="183B56"/>
      <w:sz w:val="44"/>
    </w:rPr>
  </w:style>
  <w:style w:type="paragraph" w:customStyle="1" w:styleId="ToolkitKicker">
    <w:name w:val="ToolkitKicker"/>
    <w:pPr>
      <w:keepLines w:val="0"/>
      <w:spacing w:after="80"/>
    </w:pPr>
    <w:rPr>
      <w:rFonts w:ascii="Aptos" w:hAnsi="Aptos"/>
      <w:b/>
      <w:color w:val="2B6F73"/>
      <w:sz w:val="16"/>
    </w:rPr>
  </w:style>
  <w:style w:type="paragraph" w:customStyle="1" w:styleId="ToolkitSub">
    <w:name w:val="ToolkitSub"/>
    <w:pPr>
      <w:keepLines w:val="0"/>
      <w:spacing w:after="80"/>
    </w:pPr>
    <w:rPr>
      <w:rFonts w:ascii="Aptos" w:hAnsi="Aptos"/>
      <w:b w:val="0"/>
      <w:color w:val="6B747A"/>
      <w:sz w:val="20"/>
    </w:rPr>
  </w:style>
  <w:style w:type="paragraph" w:customStyle="1" w:styleId="SectionHead">
    <w:name w:val="SectionHead"/>
    <w:pPr>
      <w:keepLines w:val="0"/>
      <w:spacing w:after="80"/>
    </w:pPr>
    <w:rPr>
      <w:rFonts w:ascii="Aptos" w:hAnsi="Aptos"/>
      <w:b/>
      <w:color w:val="183B56"/>
      <w:sz w:val="26"/>
    </w:rPr>
  </w:style>
  <w:style w:type="paragraph" w:customStyle="1" w:styleId="SmallHead">
    <w:name w:val="SmallHead"/>
    <w:pPr>
      <w:keepLines w:val="0"/>
      <w:spacing w:after="80"/>
    </w:pPr>
    <w:rPr>
      <w:rFonts w:ascii="Aptos" w:hAnsi="Aptos"/>
      <w:b/>
      <w:color w:val="2B6F73"/>
      <w:sz w:val="18"/>
    </w:rPr>
  </w:style>
  <w:style w:type="paragraph" w:customStyle="1" w:styleId="Tiny">
    <w:name w:val="Tiny"/>
    <w:pPr>
      <w:keepLines w:val="0"/>
      <w:spacing w:after="80"/>
    </w:pPr>
    <w:rPr>
      <w:rFonts w:ascii="Aptos" w:hAnsi="Aptos"/>
      <w:b w:val="0"/>
      <w:color w:val="6B747A"/>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Event &amp; Decision Log Pack</dc:title>
  <dc:subject>DRM Authority Business Resilience Starter Kit</dc:subject>
  <dc:creator>Disaster Risk Management Authority, The Bahamas</dc:creator>
  <cp:keywords>business resilience, business continuity, disaster risk management, The Bahamas</cp:keywords>
  <dc:description>Version 1.0 | September 2026</dc:description>
  <cp:lastModifiedBy/>
  <cp:revision>1</cp:revision>
  <dcterms:created xsi:type="dcterms:W3CDTF">2013-12-23T23:15:00Z</dcterms:created>
  <dcterms:modified xsi:type="dcterms:W3CDTF">2013-12-23T23:15:00Z</dcterms:modified>
  <cp:category/>
</cp:coreProperties>
</file>