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200"/>
        <w:gridCol w:w="7200"/>
      </w:tblGrid>
      <w:tr>
        <w:tc>
          <w:tcPr>
            <w:tcW w:type="dxa" w:w="10296"/>
            <w:tcMar>
              <w:top w:w="0" w:type="dxa"/>
              <w:start w:w="0" w:type="dxa"/>
              <w:bottom w:w="0" w:type="dxa"/>
              <w:end w:w="80" w:type="dxa"/>
            </w:tcMar>
            <w:vAlign w:val="center"/>
          </w:tcPr>
          <w:p>
            <w:pPr>
              <w:pStyle w:val="ToolkitKicker"/>
              <w:keepNext/>
              <w:spacing w:before="0" w:after="20"/>
              <w:jc w:val="center"/>
            </w:pPr>
            <w:r>
              <w:t>BUSINESS RESILIENCE STARTER KIT</w:t>
            </w:r>
          </w:p>
          <w:p>
            <w:pPr>
              <w:pStyle w:val="ToolkitTitle"/>
              <w:keepNext/>
              <w:spacing w:before="0" w:after="40"/>
              <w:jc w:val="center"/>
            </w:pPr>
            <w:r>
              <w:t>Business Continuity Communications Pack</w:t>
            </w:r>
          </w:p>
          <w:p>
            <w:pPr>
              <w:pStyle w:val="ToolkitSub"/>
              <w:keepNext/>
              <w:spacing w:before="0" w:after="0"/>
              <w:jc w:val="center"/>
            </w:pPr>
            <w:r>
              <w:t>Disaster Risk Management Authority | The Bahamas</w:t>
            </w:r>
          </w:p>
          <w:p>
            <w:pPr>
              <w:pStyle w:val="Tiny"/>
              <w:keepNext/>
              <w:spacing w:before="0" w:after="0"/>
              <w:jc w:val="center"/>
            </w:pPr>
            <w:r>
              <w:t>Derived from the DRM Authority Business Continuity Planning Workbook</w:t>
            </w:r>
          </w:p>
        </w:tc>
        <w:tc>
          <w:tcPr>
            <w:tcW w:type="dxa" w:w="4031"/>
            <w:tcMar>
              <w:top w:w="0" w:type="dxa"/>
              <w:start w:w="80" w:type="dxa"/>
              <w:bottom w:w="0" w:type="dxa"/>
              <w:end w:w="0" w:type="dxa"/>
            </w:tcMar>
            <w:vAlign w:val="center"/>
          </w:tcPr>
          <w:p>
            <w:pPr>
              <w:keepNext/>
              <w:spacing w:before="0" w:after="0"/>
              <w:jc w:val="right"/>
            </w:pPr>
            <w:r>
              <w:drawing>
                <wp:inline xmlns:a="http://schemas.openxmlformats.org/drawingml/2006/main" xmlns:pic="http://schemas.openxmlformats.org/drawingml/2006/picture">
                  <wp:extent cx="2148840" cy="671512"/>
                  <wp:docPr id="1" name="Picture 1"/>
                  <wp:cNvGraphicFramePr>
                    <a:graphicFrameLocks noChangeAspect="1"/>
                  </wp:cNvGraphicFramePr>
                  <a:graphic>
                    <a:graphicData uri="http://schemas.openxmlformats.org/drawingml/2006/picture">
                      <pic:pic>
                        <pic:nvPicPr>
                          <pic:cNvPr id="0" name="A_DRMLogo-FULL.png"/>
                          <pic:cNvPicPr/>
                        </pic:nvPicPr>
                        <pic:blipFill>
                          <a:blip r:embed="rId10"/>
                          <a:stretch>
                            <a:fillRect/>
                          </a:stretch>
                        </pic:blipFill>
                        <pic:spPr>
                          <a:xfrm>
                            <a:off x="0" y="0"/>
                            <a:ext cx="2148840" cy="671512"/>
                          </a:xfrm>
                          <a:prstGeom prst="rect"/>
                        </pic:spPr>
                      </pic:pic>
                    </a:graphicData>
                  </a:graphic>
                </wp:inline>
              </w:drawing>
            </w:r>
          </w:p>
        </w:tc>
      </w:tr>
    </w:tbl>
    <w:tbl>
      <w:tblPr>
        <w:tblW w:type="auto" w:w="0"/>
        <w:jc w:val="center"/>
        <w:tblLayout w:type="fixed"/>
        <w:tblLook w:firstColumn="1" w:firstRow="1" w:lastColumn="0" w:lastRow="0" w:noHBand="0" w:noVBand="1" w:val="04A0"/>
        <w:tblBorders>
          <w:top w:val="single" w:sz="4" w:space="0" w:color="D3E0E6"/>
          <w:left w:val="single" w:sz="4" w:space="0" w:color="D3E0E6"/>
          <w:bottom w:val="single" w:sz="4" w:space="0" w:color="D3E0E6"/>
          <w:right w:val="single" w:sz="4" w:space="0" w:color="D3E0E6"/>
          <w:insideH w:val="single" w:sz="4" w:space="0" w:color="D3E0E6"/>
          <w:insideV w:val="single" w:sz="4" w:space="0" w:color="D3E0E6"/>
        </w:tblBorders>
      </w:tblPr>
      <w:tblGrid>
        <w:gridCol w:w="14400"/>
      </w:tblGrid>
      <w:tr>
        <w:tc>
          <w:tcPr>
            <w:tcW w:type="dxa" w:w="14400"/>
            <w:shd w:fill="EAF1F4" w:val="clear"/>
            <w:tcMar>
              <w:top w:w="100" w:type="dxa"/>
              <w:start w:w="115" w:type="dxa"/>
              <w:bottom w:w="100" w:type="dxa"/>
              <w:end w:w="115" w:type="dxa"/>
            </w:tcMar>
            <w:vAlign w:val="center"/>
          </w:tcPr>
          <w:p>
            <w:pPr>
              <w:spacing w:before="0" w:after="40" w:line="240" w:lineRule="auto"/>
            </w:pPr>
            <w:r/>
            <w:r>
              <w:rPr>
                <w:rFonts w:ascii="Aptos" w:hAnsi="Aptos"/>
                <w:b/>
                <w:i w:val="0"/>
                <w:color w:val="183B56"/>
                <w:sz w:val="17"/>
              </w:rPr>
              <w:t>What this pack helps you do</w:t>
            </w:r>
          </w:p>
          <w:p>
            <w:pPr>
              <w:spacing w:before="0" w:after="0" w:line="240" w:lineRule="auto"/>
            </w:pPr>
            <w:r>
              <w:rPr>
                <w:rFonts w:ascii="Aptos" w:hAnsi="Aptos"/>
                <w:b w:val="0"/>
                <w:i w:val="0"/>
                <w:color w:val="1F2B33"/>
                <w:sz w:val="17"/>
              </w:rPr>
              <w:t>Plan how your business will communicate with employees, customers, suppliers, partners, banks or insurers, regulators and the public during disruption and recovery. Use it to decide what each audience needs to know, which channels will be used, who is authorized to communicate, how often updates will be provided and how communications will be recorded.</w:t>
            </w:r>
          </w:p>
        </w:tc>
      </w:tr>
    </w:tbl>
    <w:p>
      <w:pPr>
        <w:spacing w:before="0" w:after="20"/>
      </w:pPr>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7200"/>
        <w:gridCol w:w="7200"/>
      </w:tblGrid>
      <w:tr>
        <w:trPr>
          <w:cantSplit/>
        </w:trPr>
        <w:tc>
          <w:tcPr>
            <w:tcW w:type="dxa" w:w="7200"/>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Use this pack when...</w:t>
            </w:r>
          </w:p>
          <w:p>
            <w:pPr>
              <w:spacing w:before="0" w:after="20" w:line="240" w:lineRule="auto"/>
            </w:pPr>
            <w:r>
              <w:rPr>
                <w:rFonts w:ascii="Aptos" w:hAnsi="Aptos"/>
                <w:b w:val="0"/>
                <w:i w:val="0"/>
                <w:color w:val="1F2B33"/>
                <w:sz w:val="16"/>
              </w:rPr>
              <w:t>- you are developing or updating a Business Continuity Plan;</w:t>
            </w:r>
          </w:p>
          <w:p>
            <w:pPr>
              <w:spacing w:before="0" w:after="20" w:line="240" w:lineRule="auto"/>
            </w:pPr>
            <w:r>
              <w:rPr>
                <w:rFonts w:ascii="Aptos" w:hAnsi="Aptos"/>
                <w:b w:val="0"/>
                <w:i w:val="0"/>
                <w:color w:val="1F2B33"/>
                <w:sz w:val="16"/>
              </w:rPr>
              <w:t>- normal communication channels may fail or become inaccessible;</w:t>
            </w:r>
          </w:p>
          <w:p>
            <w:pPr>
              <w:spacing w:before="0" w:after="20" w:line="240" w:lineRule="auto"/>
            </w:pPr>
            <w:r>
              <w:rPr>
                <w:rFonts w:ascii="Aptos" w:hAnsi="Aptos"/>
                <w:b w:val="0"/>
                <w:i w:val="0"/>
                <w:color w:val="1F2B33"/>
                <w:sz w:val="16"/>
              </w:rPr>
              <w:t>- different audiences need different instructions or operating updates;</w:t>
            </w:r>
          </w:p>
          <w:p>
            <w:pPr>
              <w:spacing w:before="0" w:after="20" w:line="240" w:lineRule="auto"/>
            </w:pPr>
            <w:r>
              <w:rPr>
                <w:rFonts w:ascii="Aptos" w:hAnsi="Aptos"/>
                <w:b w:val="0"/>
                <w:i w:val="0"/>
                <w:color w:val="1F2B33"/>
                <w:sz w:val="16"/>
              </w:rPr>
              <w:t>- communications depend too heavily on one person, device, list or channel; or</w:t>
            </w:r>
          </w:p>
          <w:p>
            <w:pPr>
              <w:spacing w:before="0" w:after="20" w:line="240" w:lineRule="auto"/>
            </w:pPr>
            <w:r>
              <w:rPr>
                <w:rFonts w:ascii="Aptos" w:hAnsi="Aptos"/>
                <w:b w:val="0"/>
                <w:i w:val="0"/>
                <w:color w:val="1F2B33"/>
                <w:sz w:val="16"/>
              </w:rPr>
              <w:t>- you need messages that can be adapted quickly during disruption and recovery.</w:t>
            </w:r>
          </w:p>
        </w:tc>
        <w:tc>
          <w:tcPr>
            <w:tcW w:type="dxa" w:w="7200"/>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How to use the pack</w:t>
            </w:r>
          </w:p>
          <w:p>
            <w:pPr>
              <w:spacing w:before="0" w:after="20" w:line="240" w:lineRule="auto"/>
            </w:pPr>
            <w:r>
              <w:rPr>
                <w:rFonts w:ascii="Aptos" w:hAnsi="Aptos"/>
                <w:b w:val="0"/>
                <w:i w:val="0"/>
                <w:color w:val="1F2B33"/>
                <w:sz w:val="16"/>
              </w:rPr>
              <w:t>1. Map each audience, its information needs and the person responsible.</w:t>
            </w:r>
          </w:p>
          <w:p>
            <w:pPr>
              <w:spacing w:before="0" w:after="20" w:line="240" w:lineRule="auto"/>
            </w:pPr>
            <w:r>
              <w:rPr>
                <w:rFonts w:ascii="Aptos" w:hAnsi="Aptos"/>
                <w:b w:val="0"/>
                <w:i w:val="0"/>
                <w:color w:val="1F2B33"/>
                <w:sz w:val="16"/>
              </w:rPr>
              <w:t>2. Select a primary channel and a genuinely usable backup channel.</w:t>
            </w:r>
          </w:p>
          <w:p>
            <w:pPr>
              <w:spacing w:before="0" w:after="20" w:line="240" w:lineRule="auto"/>
            </w:pPr>
            <w:r>
              <w:rPr>
                <w:rFonts w:ascii="Aptos" w:hAnsi="Aptos"/>
                <w:b w:val="0"/>
                <w:i w:val="0"/>
                <w:color w:val="1F2B33"/>
                <w:sz w:val="16"/>
              </w:rPr>
              <w:t>3. Confirm authorized spokesperson, message approval and verification arrangements.</w:t>
            </w:r>
          </w:p>
          <w:p>
            <w:pPr>
              <w:spacing w:before="0" w:after="20" w:line="240" w:lineRule="auto"/>
            </w:pPr>
            <w:r>
              <w:rPr>
                <w:rFonts w:ascii="Aptos" w:hAnsi="Aptos"/>
                <w:b w:val="0"/>
                <w:i w:val="0"/>
                <w:color w:val="1F2B33"/>
                <w:sz w:val="16"/>
              </w:rPr>
              <w:t>4. Prepare message templates, update cadence and trusted information sources.</w:t>
            </w:r>
          </w:p>
          <w:p>
            <w:pPr>
              <w:spacing w:before="0" w:after="20" w:line="240" w:lineRule="auto"/>
            </w:pPr>
            <w:r>
              <w:rPr>
                <w:rFonts w:ascii="Aptos" w:hAnsi="Aptos"/>
                <w:b w:val="0"/>
                <w:i w:val="0"/>
                <w:color w:val="1F2B33"/>
                <w:sz w:val="16"/>
              </w:rPr>
              <w:t>5. Use the Communication Log during an event, then review and improve the arrangements.</w:t>
            </w:r>
          </w:p>
        </w:tc>
      </w:tr>
    </w:tbl>
    <w:p>
      <w:pPr>
        <w:pStyle w:val="SmallHead"/>
        <w:keepNext/>
        <w:spacing w:before="20" w:after="40"/>
      </w:pPr>
      <w:r>
        <w:t>Communication standards</w:t>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2880"/>
        <w:gridCol w:w="2880"/>
        <w:gridCol w:w="2880"/>
        <w:gridCol w:w="2880"/>
        <w:gridCol w:w="2880"/>
      </w:tblGrid>
      <w:tr>
        <w:trPr>
          <w:cantSplit/>
        </w:trPr>
        <w:tc>
          <w:tcPr>
            <w:tcW w:type="dxa" w:w="2880"/>
            <w:shd w:fill="EAF1F4" w:val="clear"/>
            <w:tcMar>
              <w:top w:w="85" w:type="dxa"/>
              <w:start w:w="85" w:type="dxa"/>
              <w:bottom w:w="85" w:type="dxa"/>
              <w:end w:w="85" w:type="dxa"/>
            </w:tcMar>
            <w:vAlign w:val="top"/>
          </w:tcPr>
          <w:p>
            <w:pPr>
              <w:spacing w:before="0" w:after="0" w:line="240" w:lineRule="auto"/>
              <w:jc w:val="center"/>
            </w:pPr>
            <w:r/>
            <w:r>
              <w:rPr>
                <w:rFonts w:ascii="Aptos" w:hAnsi="Aptos"/>
                <w:b/>
                <w:i w:val="0"/>
                <w:color w:val="2B6F73"/>
                <w:sz w:val="16"/>
              </w:rPr>
              <w:t>ACCESSIBLE</w:t>
            </w:r>
          </w:p>
          <w:p>
            <w:pPr>
              <w:spacing w:before="40" w:after="0" w:line="240" w:lineRule="auto"/>
              <w:jc w:val="center"/>
            </w:pPr>
            <w:r>
              <w:rPr>
                <w:rFonts w:ascii="Aptos" w:hAnsi="Aptos"/>
                <w:b w:val="0"/>
                <w:i w:val="0"/>
                <w:color w:val="1F2B33"/>
                <w:sz w:val="14"/>
              </w:rPr>
              <w:t>Uses channels and formats the audience can receive and understand.</w:t>
            </w:r>
          </w:p>
        </w:tc>
        <w:tc>
          <w:tcPr>
            <w:tcW w:type="dxa" w:w="2880"/>
            <w:shd w:fill="EAF1F4" w:val="clear"/>
            <w:tcMar>
              <w:top w:w="85" w:type="dxa"/>
              <w:start w:w="85" w:type="dxa"/>
              <w:bottom w:w="85" w:type="dxa"/>
              <w:end w:w="85" w:type="dxa"/>
            </w:tcMar>
            <w:vAlign w:val="top"/>
          </w:tcPr>
          <w:p>
            <w:pPr>
              <w:spacing w:before="0" w:after="0" w:line="240" w:lineRule="auto"/>
              <w:jc w:val="center"/>
            </w:pPr>
            <w:r/>
            <w:r>
              <w:rPr>
                <w:rFonts w:ascii="Aptos" w:hAnsi="Aptos"/>
                <w:b/>
                <w:i w:val="0"/>
                <w:color w:val="2B6F73"/>
                <w:sz w:val="16"/>
              </w:rPr>
              <w:t>IMMEDIATE</w:t>
            </w:r>
          </w:p>
          <w:p>
            <w:pPr>
              <w:spacing w:before="40" w:after="0" w:line="240" w:lineRule="auto"/>
              <w:jc w:val="center"/>
            </w:pPr>
            <w:r>
              <w:rPr>
                <w:rFonts w:ascii="Aptos" w:hAnsi="Aptos"/>
                <w:b w:val="0"/>
                <w:i w:val="0"/>
                <w:color w:val="1F2B33"/>
                <w:sz w:val="14"/>
              </w:rPr>
              <w:t>Shared as soon as action is needed and information is verified.</w:t>
            </w:r>
          </w:p>
        </w:tc>
        <w:tc>
          <w:tcPr>
            <w:tcW w:type="dxa" w:w="2880"/>
            <w:shd w:fill="EAF1F4" w:val="clear"/>
            <w:tcMar>
              <w:top w:w="85" w:type="dxa"/>
              <w:start w:w="85" w:type="dxa"/>
              <w:bottom w:w="85" w:type="dxa"/>
              <w:end w:w="85" w:type="dxa"/>
            </w:tcMar>
            <w:vAlign w:val="top"/>
          </w:tcPr>
          <w:p>
            <w:pPr>
              <w:spacing w:before="0" w:after="0" w:line="240" w:lineRule="auto"/>
              <w:jc w:val="center"/>
            </w:pPr>
            <w:r/>
            <w:r>
              <w:rPr>
                <w:rFonts w:ascii="Aptos" w:hAnsi="Aptos"/>
                <w:b/>
                <w:i w:val="0"/>
                <w:color w:val="2B6F73"/>
                <w:sz w:val="16"/>
              </w:rPr>
              <w:t>FREQUENT</w:t>
            </w:r>
          </w:p>
          <w:p>
            <w:pPr>
              <w:spacing w:before="40" w:after="0" w:line="240" w:lineRule="auto"/>
              <w:jc w:val="center"/>
            </w:pPr>
            <w:r>
              <w:rPr>
                <w:rFonts w:ascii="Aptos" w:hAnsi="Aptos"/>
                <w:b w:val="0"/>
                <w:i w:val="0"/>
                <w:color w:val="1F2B33"/>
                <w:sz w:val="14"/>
              </w:rPr>
              <w:t>Updated at predictable intervals, even when little has changed.</w:t>
            </w:r>
          </w:p>
        </w:tc>
        <w:tc>
          <w:tcPr>
            <w:tcW w:type="dxa" w:w="2880"/>
            <w:shd w:fill="EAF1F4" w:val="clear"/>
            <w:tcMar>
              <w:top w:w="85" w:type="dxa"/>
              <w:start w:w="85" w:type="dxa"/>
              <w:bottom w:w="85" w:type="dxa"/>
              <w:end w:w="85" w:type="dxa"/>
            </w:tcMar>
            <w:vAlign w:val="top"/>
          </w:tcPr>
          <w:p>
            <w:pPr>
              <w:spacing w:before="0" w:after="0" w:line="240" w:lineRule="auto"/>
              <w:jc w:val="center"/>
            </w:pPr>
            <w:r/>
            <w:r>
              <w:rPr>
                <w:rFonts w:ascii="Aptos" w:hAnsi="Aptos"/>
                <w:b/>
                <w:i w:val="0"/>
                <w:color w:val="2B6F73"/>
                <w:sz w:val="16"/>
              </w:rPr>
              <w:t>SPECIFIC</w:t>
            </w:r>
          </w:p>
          <w:p>
            <w:pPr>
              <w:spacing w:before="40" w:after="0" w:line="240" w:lineRule="auto"/>
              <w:jc w:val="center"/>
            </w:pPr>
            <w:r>
              <w:rPr>
                <w:rFonts w:ascii="Aptos" w:hAnsi="Aptos"/>
                <w:b w:val="0"/>
                <w:i w:val="0"/>
                <w:color w:val="1F2B33"/>
                <w:sz w:val="14"/>
              </w:rPr>
              <w:t>States what has happened, what it means and what the audience should do.</w:t>
            </w:r>
          </w:p>
        </w:tc>
        <w:tc>
          <w:tcPr>
            <w:tcW w:type="dxa" w:w="2880"/>
            <w:shd w:fill="EAF1F4" w:val="clear"/>
            <w:tcMar>
              <w:top w:w="85" w:type="dxa"/>
              <w:start w:w="85" w:type="dxa"/>
              <w:bottom w:w="85" w:type="dxa"/>
              <w:end w:w="85" w:type="dxa"/>
            </w:tcMar>
            <w:vAlign w:val="top"/>
          </w:tcPr>
          <w:p>
            <w:pPr>
              <w:spacing w:before="0" w:after="0" w:line="240" w:lineRule="auto"/>
              <w:jc w:val="center"/>
            </w:pPr>
            <w:r/>
            <w:r>
              <w:rPr>
                <w:rFonts w:ascii="Aptos" w:hAnsi="Aptos"/>
                <w:b/>
                <w:i w:val="0"/>
                <w:color w:val="2B6F73"/>
                <w:sz w:val="16"/>
              </w:rPr>
              <w:t>CLEAR</w:t>
            </w:r>
          </w:p>
          <w:p>
            <w:pPr>
              <w:spacing w:before="40" w:after="0" w:line="240" w:lineRule="auto"/>
              <w:jc w:val="center"/>
            </w:pPr>
            <w:r>
              <w:rPr>
                <w:rFonts w:ascii="Aptos" w:hAnsi="Aptos"/>
                <w:b w:val="0"/>
                <w:i w:val="0"/>
                <w:color w:val="1F2B33"/>
                <w:sz w:val="14"/>
              </w:rPr>
              <w:t>Uses plain language and avoids ambiguity, speculation and unnecessary jargon.</w:t>
            </w:r>
          </w:p>
        </w:tc>
      </w:tr>
    </w:tbl>
    <w:p>
      <w:pPr>
        <w:spacing w:before="0" w:after="20"/>
      </w:pPr>
      <w:r/>
    </w:p>
    <w:tbl>
      <w:tblPr>
        <w:tblW w:type="auto" w:w="0"/>
        <w:jc w:val="center"/>
        <w:tblLayout w:type="fixed"/>
        <w:tblLook w:firstColumn="1" w:firstRow="1" w:lastColumn="0" w:lastRow="0" w:noHBand="0" w:noVBand="1" w:val="04A0"/>
        <w:tblBorders>
          <w:top w:val="single" w:sz="4" w:space="0" w:color="D3E0E6"/>
          <w:left w:val="single" w:sz="4" w:space="0" w:color="D3E0E6"/>
          <w:bottom w:val="single" w:sz="4" w:space="0" w:color="D3E0E6"/>
          <w:right w:val="single" w:sz="4" w:space="0" w:color="D3E0E6"/>
          <w:insideH w:val="single" w:sz="4" w:space="0" w:color="D3E0E6"/>
          <w:insideV w:val="single" w:sz="4" w:space="0" w:color="D3E0E6"/>
        </w:tblBorders>
      </w:tblPr>
      <w:tblGrid>
        <w:gridCol w:w="14400"/>
      </w:tblGrid>
      <w:tr>
        <w:tc>
          <w:tcPr>
            <w:tcW w:type="dxa" w:w="14400"/>
            <w:shd w:fill="F3E7C4" w:val="clear"/>
            <w:tcMar>
              <w:top w:w="100" w:type="dxa"/>
              <w:start w:w="115" w:type="dxa"/>
              <w:bottom w:w="100" w:type="dxa"/>
              <w:end w:w="115" w:type="dxa"/>
            </w:tcMar>
            <w:vAlign w:val="center"/>
          </w:tcPr>
          <w:p>
            <w:pPr>
              <w:spacing w:before="0" w:after="40" w:line="240" w:lineRule="auto"/>
            </w:pPr>
            <w:r/>
            <w:r>
              <w:rPr>
                <w:rFonts w:ascii="Aptos" w:hAnsi="Aptos"/>
                <w:b/>
                <w:i w:val="0"/>
                <w:color w:val="183B56"/>
                <w:sz w:val="17"/>
              </w:rPr>
              <w:t>Important</w:t>
            </w:r>
          </w:p>
          <w:p>
            <w:pPr>
              <w:spacing w:before="0" w:after="0" w:line="240" w:lineRule="auto"/>
            </w:pPr>
            <w:r>
              <w:rPr>
                <w:rFonts w:ascii="Aptos" w:hAnsi="Aptos"/>
                <w:b w:val="0"/>
                <w:i w:val="0"/>
                <w:color w:val="1F2B33"/>
                <w:sz w:val="16"/>
              </w:rPr>
              <w:t>Continuity communication is about helping people act and keeping the business coordinated. This pack does not replace official emergency instructions, legal or regulatory requirements, or a full media or crisis-communications plan. Use verified information, protect sensitive information and do not make promises the business cannot keep.</w:t>
            </w:r>
          </w:p>
        </w:tc>
      </w:tr>
    </w:tbl>
    <w:p>
      <w:r>
        <w:br w:type="page"/>
      </w:r>
    </w:p>
    <w:p>
      <w:pPr>
        <w:pStyle w:val="SectionHead"/>
        <w:keepNext/>
        <w:spacing w:before="0" w:after="80"/>
      </w:pPr>
      <w:r>
        <w:t>1. Stakeholder Communications Matrix</w:t>
      </w:r>
    </w:p>
    <w:p>
      <w:pPr>
        <w:keepNext w:val="0"/>
        <w:spacing w:before="0" w:after="80" w:line="240" w:lineRule="auto"/>
      </w:pPr>
      <w:r>
        <w:rPr>
          <w:rFonts w:ascii="Aptos" w:hAnsi="Aptos"/>
          <w:b w:val="0"/>
          <w:i w:val="0"/>
          <w:color w:val="1F2B33"/>
          <w:sz w:val="18"/>
        </w:rPr>
        <w:t>Good crisis communication helps employees act, customers make decisions, suppliers coordinate and the business maintain credibility. Complete one row for each audience. Record what that audience needs to know, how it will be reached if the primary channel fails and who is responsible for communicating.</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2880"/>
        <w:gridCol w:w="2880"/>
        <w:gridCol w:w="2880"/>
        <w:gridCol w:w="2880"/>
        <w:gridCol w:w="2880"/>
      </w:tblGrid>
      <w:tr>
        <w:trPr>
          <w:tblHeader w:val="true"/>
          <w:cantSplit/>
        </w:trPr>
        <w:tc>
          <w:tcPr>
            <w:tcW w:type="dxa" w:w="208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Audience</w:t>
            </w:r>
          </w:p>
        </w:tc>
        <w:tc>
          <w:tcPr>
            <w:tcW w:type="dxa" w:w="4392"/>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What Do They Need to Know?</w:t>
            </w:r>
          </w:p>
        </w:tc>
        <w:tc>
          <w:tcPr>
            <w:tcW w:type="dxa" w:w="2376"/>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Primary Channel</w:t>
            </w:r>
          </w:p>
        </w:tc>
        <w:tc>
          <w:tcPr>
            <w:tcW w:type="dxa" w:w="2376"/>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Backup Channel</w:t>
            </w:r>
          </w:p>
        </w:tc>
        <w:tc>
          <w:tcPr>
            <w:tcW w:type="dxa" w:w="316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Responsible Person</w:t>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Employees</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Customers</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Suppliers</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Business partners</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Bank / insurer</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Government / regulator</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Public / media</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r>
        <w:trPr>
          <w:trHeight w:val="706" w:hRule="atLeast"/>
          <w:cantSplit/>
        </w:trPr>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6"/>
              </w:rPr>
              <w:t>Other:</w:t>
            </w:r>
          </w:p>
        </w:tc>
        <w:tc>
          <w:tcPr>
            <w:tcW w:type="dxa" w:w="43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6"/>
              </w:rPr>
            </w:r>
          </w:p>
        </w:tc>
      </w:tr>
    </w:tbl>
    <w:p>
      <w:pPr>
        <w:pStyle w:val="SmallHead"/>
        <w:keepNext/>
        <w:spacing w:before="20" w:after="40"/>
      </w:pPr>
      <w:r>
        <w:t>Questions to ask as you complete the matrix</w:t>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4800"/>
        <w:gridCol w:w="4800"/>
        <w:gridCol w:w="4800"/>
      </w:tblGrid>
      <w:tr>
        <w:trPr>
          <w:cantSplit/>
        </w:trPr>
        <w:tc>
          <w:tcPr>
            <w:tcW w:type="dxa" w:w="4795"/>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Message purpose</w:t>
            </w:r>
          </w:p>
          <w:p>
            <w:pPr>
              <w:spacing w:before="0" w:after="20" w:line="240" w:lineRule="auto"/>
            </w:pPr>
            <w:r>
              <w:rPr>
                <w:rFonts w:ascii="Aptos" w:hAnsi="Aptos"/>
                <w:b w:val="0"/>
                <w:i w:val="0"/>
                <w:color w:val="1F2B33"/>
                <w:sz w:val="15"/>
              </w:rPr>
              <w:t>- What does this audience need to know now?</w:t>
            </w:r>
          </w:p>
          <w:p>
            <w:pPr>
              <w:spacing w:before="0" w:after="20" w:line="240" w:lineRule="auto"/>
            </w:pPr>
            <w:r>
              <w:rPr>
                <w:rFonts w:ascii="Aptos" w:hAnsi="Aptos"/>
                <w:b w:val="0"/>
                <w:i w:val="0"/>
                <w:color w:val="1F2B33"/>
                <w:sz w:val="15"/>
              </w:rPr>
              <w:t>- What action should it take?</w:t>
            </w:r>
          </w:p>
          <w:p>
            <w:pPr>
              <w:spacing w:before="0" w:after="20" w:line="240" w:lineRule="auto"/>
            </w:pPr>
            <w:r>
              <w:rPr>
                <w:rFonts w:ascii="Aptos" w:hAnsi="Aptos"/>
                <w:b w:val="0"/>
                <w:i w:val="0"/>
                <w:color w:val="1F2B33"/>
                <w:sz w:val="15"/>
              </w:rPr>
              <w:t>- When will it receive the next update?</w:t>
            </w:r>
          </w:p>
        </w:tc>
        <w:tc>
          <w:tcPr>
            <w:tcW w:type="dxa" w:w="4795"/>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Channel resilience</w:t>
            </w:r>
          </w:p>
          <w:p>
            <w:pPr>
              <w:spacing w:before="0" w:after="20" w:line="240" w:lineRule="auto"/>
            </w:pPr>
            <w:r>
              <w:rPr>
                <w:rFonts w:ascii="Aptos" w:hAnsi="Aptos"/>
                <w:b w:val="0"/>
                <w:i w:val="0"/>
                <w:color w:val="1F2B33"/>
                <w:sz w:val="15"/>
              </w:rPr>
              <w:t>- Can this channel work if power, Internet or mobile service fails?</w:t>
            </w:r>
          </w:p>
          <w:p>
            <w:pPr>
              <w:spacing w:before="0" w:after="20" w:line="240" w:lineRule="auto"/>
            </w:pPr>
            <w:r>
              <w:rPr>
                <w:rFonts w:ascii="Aptos" w:hAnsi="Aptos"/>
                <w:b w:val="0"/>
                <w:i w:val="0"/>
                <w:color w:val="1F2B33"/>
                <w:sz w:val="15"/>
              </w:rPr>
              <w:t>- Can contact lists be accessed away from normal systems?</w:t>
            </w:r>
          </w:p>
          <w:p>
            <w:pPr>
              <w:spacing w:before="0" w:after="20" w:line="240" w:lineRule="auto"/>
            </w:pPr>
            <w:r>
              <w:rPr>
                <w:rFonts w:ascii="Aptos" w:hAnsi="Aptos"/>
                <w:b w:val="0"/>
                <w:i w:val="0"/>
                <w:color w:val="1F2B33"/>
                <w:sz w:val="15"/>
              </w:rPr>
              <w:t>- Is the backup genuinely independent?</w:t>
            </w:r>
          </w:p>
        </w:tc>
        <w:tc>
          <w:tcPr>
            <w:tcW w:type="dxa" w:w="4809"/>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Responsibility and control</w:t>
            </w:r>
          </w:p>
          <w:p>
            <w:pPr>
              <w:spacing w:before="0" w:after="20" w:line="240" w:lineRule="auto"/>
            </w:pPr>
            <w:r>
              <w:rPr>
                <w:rFonts w:ascii="Aptos" w:hAnsi="Aptos"/>
                <w:b w:val="0"/>
                <w:i w:val="0"/>
                <w:color w:val="1F2B33"/>
                <w:sz w:val="15"/>
              </w:rPr>
              <w:t>- Who prepares, approves and sends the message?</w:t>
            </w:r>
          </w:p>
          <w:p>
            <w:pPr>
              <w:spacing w:before="0" w:after="20" w:line="240" w:lineRule="auto"/>
            </w:pPr>
            <w:r>
              <w:rPr>
                <w:rFonts w:ascii="Aptos" w:hAnsi="Aptos"/>
                <w:b w:val="0"/>
                <w:i w:val="0"/>
                <w:color w:val="1F2B33"/>
                <w:sz w:val="15"/>
              </w:rPr>
              <w:t>- Who responds to questions?</w:t>
            </w:r>
          </w:p>
          <w:p>
            <w:pPr>
              <w:spacing w:before="0" w:after="20" w:line="240" w:lineRule="auto"/>
            </w:pPr>
            <w:r>
              <w:rPr>
                <w:rFonts w:ascii="Aptos" w:hAnsi="Aptos"/>
                <w:b w:val="0"/>
                <w:i w:val="0"/>
                <w:color w:val="1F2B33"/>
                <w:sz w:val="15"/>
              </w:rPr>
              <w:t>- What personal, commercial or security information must not be disclosed?</w:t>
            </w:r>
          </w:p>
        </w:tc>
      </w:tr>
    </w:tbl>
    <w:p>
      <w:r>
        <w:br w:type="page"/>
      </w:r>
    </w:p>
    <w:p>
      <w:pPr>
        <w:pStyle w:val="SectionHead"/>
        <w:keepNext/>
        <w:spacing w:before="0" w:after="80"/>
      </w:pPr>
      <w:r>
        <w:t>2. Channel Resilience, Communication Authority &amp; Verification</w:t>
      </w:r>
    </w:p>
    <w:p>
      <w:pPr>
        <w:pStyle w:val="SmallHead"/>
        <w:keepNext/>
        <w:spacing w:before="20" w:after="40"/>
      </w:pPr>
      <w:r>
        <w:t>Do not depend on one channel</w:t>
      </w:r>
    </w:p>
    <w:p>
      <w:pPr>
        <w:keepNext w:val="0"/>
        <w:spacing w:before="0" w:after="60" w:line="240" w:lineRule="auto"/>
      </w:pPr>
      <w:r>
        <w:rPr>
          <w:rFonts w:ascii="Aptos" w:hAnsi="Aptos"/>
          <w:b w:val="0"/>
          <w:i w:val="0"/>
          <w:color w:val="1F2B33"/>
          <w:sz w:val="17"/>
        </w:rPr>
        <w:t>Email, WhatsApp and social media may appear to be three separate channels. If all depend on the same Internet connection, device, administrator or contact list, however, the business may have less redundancy than it thinks. Test whether backup channels can actually be accessed and used during disruption.</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2400"/>
        <w:gridCol w:w="2400"/>
        <w:gridCol w:w="2400"/>
        <w:gridCol w:w="2400"/>
        <w:gridCol w:w="2400"/>
        <w:gridCol w:w="2400"/>
      </w:tblGrid>
      <w:tr>
        <w:trPr>
          <w:tblHeader w:val="true"/>
          <w:cantSplit/>
        </w:trPr>
        <w:tc>
          <w:tcPr>
            <w:tcW w:type="dxa" w:w="1872"/>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Audience</w:t>
            </w:r>
          </w:p>
        </w:tc>
        <w:tc>
          <w:tcPr>
            <w:tcW w:type="dxa" w:w="208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Primary Channel</w:t>
            </w:r>
          </w:p>
        </w:tc>
        <w:tc>
          <w:tcPr>
            <w:tcW w:type="dxa" w:w="2592"/>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What It Depends On</w:t>
            </w:r>
          </w:p>
        </w:tc>
        <w:tc>
          <w:tcPr>
            <w:tcW w:type="dxa" w:w="2592"/>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Failure to Plan For</w:t>
            </w:r>
          </w:p>
        </w:tc>
        <w:tc>
          <w:tcPr>
            <w:tcW w:type="dxa" w:w="208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Backup Channel</w:t>
            </w:r>
          </w:p>
        </w:tc>
        <w:tc>
          <w:tcPr>
            <w:tcW w:type="dxa" w:w="316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How Backup Is Accessed / Tested</w:t>
            </w:r>
          </w:p>
        </w:tc>
      </w:tr>
      <w:tr>
        <w:trPr>
          <w:trHeight w:val="662" w:hRule="atLeast"/>
          <w:cantSplit/>
        </w:trPr>
        <w:tc>
          <w:tcPr>
            <w:tcW w:type="dxa" w:w="187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Employees</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62" w:hRule="atLeast"/>
          <w:cantSplit/>
        </w:trPr>
        <w:tc>
          <w:tcPr>
            <w:tcW w:type="dxa" w:w="187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Customers</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62" w:hRule="atLeast"/>
          <w:cantSplit/>
        </w:trPr>
        <w:tc>
          <w:tcPr>
            <w:tcW w:type="dxa" w:w="187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Suppliers / partners</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62" w:hRule="atLeast"/>
          <w:cantSplit/>
        </w:trPr>
        <w:tc>
          <w:tcPr>
            <w:tcW w:type="dxa" w:w="187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Bank / insurer / regulator</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62" w:hRule="atLeast"/>
          <w:cantSplit/>
        </w:trPr>
        <w:tc>
          <w:tcPr>
            <w:tcW w:type="dxa" w:w="187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Public / media</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92"/>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16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bl>
    <w:p>
      <w:pPr>
        <w:pStyle w:val="SmallHead"/>
        <w:keepNext/>
        <w:spacing w:before="20" w:after="40"/>
      </w:pPr>
      <w:r>
        <w:t>Authorized spokesperson and communication roles</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3600"/>
        <w:gridCol w:w="3600"/>
        <w:gridCol w:w="3600"/>
        <w:gridCol w:w="3600"/>
      </w:tblGrid>
      <w:tr>
        <w:trPr>
          <w:tblHeader w:val="true"/>
          <w:cantSplit/>
        </w:trPr>
        <w:tc>
          <w:tcPr>
            <w:tcW w:type="dxa" w:w="324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Communication Role</w:t>
            </w:r>
          </w:p>
        </w:tc>
        <w:tc>
          <w:tcPr>
            <w:tcW w:type="dxa" w:w="352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Primary Name / Position</w:t>
            </w:r>
          </w:p>
        </w:tc>
        <w:tc>
          <w:tcPr>
            <w:tcW w:type="dxa" w:w="352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Alternate Name / Position</w:t>
            </w:r>
          </w:p>
        </w:tc>
        <w:tc>
          <w:tcPr>
            <w:tcW w:type="dxa" w:w="4104"/>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Limits / Conditions</w:t>
            </w:r>
          </w:p>
        </w:tc>
      </w:tr>
      <w:tr>
        <w:trPr>
          <w:trHeight w:val="562" w:hRule="atLeast"/>
          <w:cantSplit/>
        </w:trPr>
        <w:tc>
          <w:tcPr>
            <w:tcW w:type="dxa" w:w="3240"/>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Authorized spokesperson</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410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562" w:hRule="atLeast"/>
          <w:cantSplit/>
        </w:trPr>
        <w:tc>
          <w:tcPr>
            <w:tcW w:type="dxa" w:w="3240"/>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Message approval authority</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410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562" w:hRule="atLeast"/>
          <w:cantSplit/>
        </w:trPr>
        <w:tc>
          <w:tcPr>
            <w:tcW w:type="dxa" w:w="3240"/>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Message preparation / coordination</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410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562" w:hRule="atLeast"/>
          <w:cantSplit/>
        </w:trPr>
        <w:tc>
          <w:tcPr>
            <w:tcW w:type="dxa" w:w="3240"/>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Monitor questions and feedback</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410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bl>
    <w:p>
      <w:pPr>
        <w:pStyle w:val="SmallHead"/>
        <w:keepNext/>
        <w:spacing w:before="20" w:after="40"/>
      </w:pPr>
      <w:r>
        <w:t>Verify before you communicate</w:t>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2880"/>
        <w:gridCol w:w="2880"/>
        <w:gridCol w:w="2880"/>
        <w:gridCol w:w="2880"/>
        <w:gridCol w:w="2880"/>
      </w:tblGrid>
      <w:tr>
        <w:trPr>
          <w:cantSplit/>
        </w:trPr>
        <w:tc>
          <w:tcPr>
            <w:tcW w:type="dxa" w:w="2880"/>
            <w:shd w:fill="EAF1F4" w:val="clear"/>
            <w:tcMar>
              <w:top w:w="85" w:type="dxa"/>
              <w:start w:w="80" w:type="dxa"/>
              <w:bottom w:w="85" w:type="dxa"/>
              <w:end w:w="80" w:type="dxa"/>
            </w:tcMar>
            <w:vAlign w:val="center"/>
          </w:tcPr>
          <w:p>
            <w:pPr>
              <w:spacing w:before="0" w:after="0" w:line="240" w:lineRule="auto"/>
              <w:jc w:val="center"/>
            </w:pPr>
            <w:r/>
            <w:r>
              <w:rPr>
                <w:rFonts w:ascii="Aptos" w:hAnsi="Aptos"/>
                <w:b/>
                <w:i w:val="0"/>
                <w:color w:val="1F2B33"/>
                <w:sz w:val="15"/>
              </w:rPr>
              <w:t>☐ What do we know?</w:t>
            </w:r>
          </w:p>
        </w:tc>
        <w:tc>
          <w:tcPr>
            <w:tcW w:type="dxa" w:w="2880"/>
            <w:shd w:fill="EAF1F4" w:val="clear"/>
            <w:tcMar>
              <w:top w:w="85" w:type="dxa"/>
              <w:start w:w="80" w:type="dxa"/>
              <w:bottom w:w="85" w:type="dxa"/>
              <w:end w:w="80" w:type="dxa"/>
            </w:tcMar>
            <w:vAlign w:val="center"/>
          </w:tcPr>
          <w:p>
            <w:pPr>
              <w:spacing w:before="0" w:after="0" w:line="240" w:lineRule="auto"/>
              <w:jc w:val="center"/>
            </w:pPr>
            <w:r/>
            <w:r>
              <w:rPr>
                <w:rFonts w:ascii="Aptos" w:hAnsi="Aptos"/>
                <w:b/>
                <w:i w:val="0"/>
                <w:color w:val="1F2B33"/>
                <w:sz w:val="15"/>
              </w:rPr>
              <w:t>☐ What do we not know?</w:t>
            </w:r>
          </w:p>
        </w:tc>
        <w:tc>
          <w:tcPr>
            <w:tcW w:type="dxa" w:w="2880"/>
            <w:shd w:fill="EAF1F4" w:val="clear"/>
            <w:tcMar>
              <w:top w:w="85" w:type="dxa"/>
              <w:start w:w="80" w:type="dxa"/>
              <w:bottom w:w="85" w:type="dxa"/>
              <w:end w:w="80" w:type="dxa"/>
            </w:tcMar>
            <w:vAlign w:val="center"/>
          </w:tcPr>
          <w:p>
            <w:pPr>
              <w:spacing w:before="0" w:after="0" w:line="240" w:lineRule="auto"/>
              <w:jc w:val="center"/>
            </w:pPr>
            <w:r/>
            <w:r>
              <w:rPr>
                <w:rFonts w:ascii="Aptos" w:hAnsi="Aptos"/>
                <w:b/>
                <w:i w:val="0"/>
                <w:color w:val="1F2B33"/>
                <w:sz w:val="15"/>
              </w:rPr>
              <w:t>☐ Is the information verified?</w:t>
            </w:r>
          </w:p>
        </w:tc>
        <w:tc>
          <w:tcPr>
            <w:tcW w:type="dxa" w:w="2880"/>
            <w:shd w:fill="EAF1F4" w:val="clear"/>
            <w:tcMar>
              <w:top w:w="85" w:type="dxa"/>
              <w:start w:w="80" w:type="dxa"/>
              <w:bottom w:w="85" w:type="dxa"/>
              <w:end w:w="80" w:type="dxa"/>
            </w:tcMar>
            <w:vAlign w:val="center"/>
          </w:tcPr>
          <w:p>
            <w:pPr>
              <w:spacing w:before="0" w:after="0" w:line="240" w:lineRule="auto"/>
              <w:jc w:val="center"/>
            </w:pPr>
            <w:r/>
            <w:r>
              <w:rPr>
                <w:rFonts w:ascii="Aptos" w:hAnsi="Aptos"/>
                <w:b/>
                <w:i w:val="0"/>
                <w:color w:val="1F2B33"/>
                <w:sz w:val="15"/>
              </w:rPr>
              <w:t>☐ Are we revealing sensitive information?</w:t>
            </w:r>
          </w:p>
        </w:tc>
        <w:tc>
          <w:tcPr>
            <w:tcW w:type="dxa" w:w="2880"/>
            <w:shd w:fill="EAF1F4" w:val="clear"/>
            <w:tcMar>
              <w:top w:w="85" w:type="dxa"/>
              <w:start w:w="80" w:type="dxa"/>
              <w:bottom w:w="85" w:type="dxa"/>
              <w:end w:w="80" w:type="dxa"/>
            </w:tcMar>
            <w:vAlign w:val="center"/>
          </w:tcPr>
          <w:p>
            <w:pPr>
              <w:spacing w:before="0" w:after="0" w:line="240" w:lineRule="auto"/>
              <w:jc w:val="center"/>
            </w:pPr>
            <w:r/>
            <w:r>
              <w:rPr>
                <w:rFonts w:ascii="Aptos" w:hAnsi="Aptos"/>
                <w:b/>
                <w:i w:val="0"/>
                <w:color w:val="1F2B33"/>
                <w:sz w:val="15"/>
              </w:rPr>
              <w:t>☐ Are we making promises we can keep?</w:t>
            </w:r>
          </w:p>
        </w:tc>
      </w:tr>
    </w:tbl>
    <w:p>
      <w:r>
        <w:br w:type="page"/>
      </w:r>
    </w:p>
    <w:p>
      <w:pPr>
        <w:pStyle w:val="SectionHead"/>
        <w:keepNext/>
        <w:spacing w:before="0" w:after="80"/>
      </w:pPr>
      <w:r>
        <w:t>3. Ready-to-Use Message Templates</w:t>
      </w:r>
    </w:p>
    <w:p>
      <w:pPr>
        <w:keepNext w:val="0"/>
        <w:spacing w:before="0" w:after="80" w:line="240" w:lineRule="auto"/>
      </w:pPr>
      <w:r>
        <w:rPr>
          <w:rFonts w:ascii="Aptos" w:hAnsi="Aptos"/>
          <w:b w:val="0"/>
          <w:i w:val="0"/>
          <w:color w:val="1F2B33"/>
          <w:sz w:val="17"/>
        </w:rPr>
        <w:t>Replace every bracketed prompt before release. Adapt each message to the confirmed facts, the audience and the action required. Messages should be approved through the business’s established process and issued only through authorized channels.</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14400"/>
      </w:tblGrid>
      <w:tr>
        <w:trPr>
          <w:cantSplit/>
        </w:trPr>
        <w:tc>
          <w:tcPr>
            <w:tcW w:type="dxa" w:w="14400"/>
            <w:shd w:fill="183B56" w:val="clear"/>
            <w:tcMar>
              <w:top w:w="72" w:type="dxa"/>
              <w:start w:w="92" w:type="dxa"/>
              <w:bottom w:w="72" w:type="dxa"/>
              <w:end w:w="92" w:type="dxa"/>
            </w:tcMar>
            <w:vAlign w:val="center"/>
          </w:tcPr>
          <w:p>
            <w:pPr>
              <w:spacing w:before="0" w:after="0" w:line="240" w:lineRule="auto"/>
              <w:jc w:val="left"/>
            </w:pPr>
            <w:r/>
            <w:r>
              <w:rPr>
                <w:rFonts w:ascii="Aptos" w:hAnsi="Aptos"/>
                <w:b/>
                <w:i w:val="0"/>
                <w:color w:val="FFFFFF"/>
                <w:sz w:val="17"/>
              </w:rPr>
              <w:t>A. Holding Statement</w:t>
            </w:r>
          </w:p>
        </w:tc>
      </w:tr>
      <w:tr>
        <w:trPr>
          <w:trHeight w:val="2477" w:hRule="atLeast"/>
          <w:cantSplit/>
        </w:trPr>
        <w:tc>
          <w:tcPr>
            <w:tcW w:type="dxa" w:w="14400"/>
            <w:shd w:fill="F6F8F9" w:val="clear"/>
            <w:tcMar>
              <w:top w:w="105" w:type="dxa"/>
              <w:start w:w="115" w:type="dxa"/>
              <w:bottom w:w="105" w:type="dxa"/>
              <w:end w:w="115" w:type="dxa"/>
            </w:tcMar>
            <w:vAlign w:val="top"/>
          </w:tcPr>
          <w:p>
            <w:pPr>
              <w:spacing w:before="0" w:after="0" w:line="240" w:lineRule="auto"/>
            </w:pPr>
            <w:r/>
            <w:r>
              <w:rPr>
                <w:rFonts w:ascii="Aptos" w:hAnsi="Aptos"/>
                <w:b w:val="0"/>
                <w:i w:val="0"/>
                <w:color w:val="1F2B33"/>
                <w:sz w:val="18"/>
              </w:rPr>
              <w:t>[Business Name] is currently responding to [brief confirmed disruption].</w:t>
            </w:r>
          </w:p>
          <w:p>
            <w:pPr>
              <w:spacing w:before="0" w:after="0" w:line="240" w:lineRule="auto"/>
            </w:pPr>
            <w:r>
              <w:rPr>
                <w:rFonts w:ascii="Aptos" w:hAnsi="Aptos"/>
                <w:b w:val="0"/>
                <w:i w:val="0"/>
                <w:color w:val="1F2B33"/>
                <w:sz w:val="18"/>
              </w:rPr>
              <w:t>Our immediate priority is [priority].</w:t>
            </w:r>
          </w:p>
          <w:p>
            <w:pPr>
              <w:spacing w:before="0" w:after="0" w:line="240" w:lineRule="auto"/>
            </w:pPr>
            <w:r>
              <w:rPr>
                <w:rFonts w:ascii="Aptos" w:hAnsi="Aptos"/>
                <w:b w:val="0"/>
                <w:i w:val="0"/>
                <w:color w:val="1F2B33"/>
                <w:sz w:val="18"/>
              </w:rPr>
              <w:t>At this time, [known operating status].</w:t>
            </w:r>
          </w:p>
          <w:p>
            <w:pPr>
              <w:spacing w:before="0" w:after="0" w:line="240" w:lineRule="auto"/>
            </w:pPr>
            <w:r>
              <w:rPr>
                <w:rFonts w:ascii="Aptos" w:hAnsi="Aptos"/>
                <w:b w:val="0"/>
                <w:i w:val="0"/>
                <w:color w:val="1F2B33"/>
                <w:sz w:val="18"/>
              </w:rPr>
              <w:t>Employees/customers/partners should [action].</w:t>
            </w:r>
          </w:p>
          <w:p>
            <w:pPr>
              <w:spacing w:before="0" w:after="0" w:line="240" w:lineRule="auto"/>
            </w:pPr>
            <w:r>
              <w:rPr>
                <w:rFonts w:ascii="Aptos" w:hAnsi="Aptos"/>
                <w:b w:val="0"/>
                <w:i w:val="0"/>
                <w:color w:val="1F2B33"/>
                <w:sz w:val="18"/>
              </w:rPr>
              <w:t>We will provide our next update by [time/date] through [official channel].</w:t>
            </w:r>
          </w:p>
          <w:p>
            <w:pPr>
              <w:spacing w:before="80" w:after="0"/>
            </w:pPr>
            <w:r>
              <w:rPr>
                <w:rFonts w:ascii="Aptos" w:hAnsi="Aptos"/>
                <w:b w:val="0"/>
                <w:i/>
                <w:color w:val="6B747A"/>
                <w:sz w:val="16"/>
              </w:rPr>
              <w:t>It is acceptable to say: “We are still assessing the situation and will provide another update at [time].”</w:t>
            </w:r>
          </w:p>
        </w:tc>
      </w:tr>
    </w:tbl>
    <w:p>
      <w:pPr>
        <w:spacing w:before="0" w:after="80"/>
      </w:pPr>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14400"/>
      </w:tblGrid>
      <w:tr>
        <w:trPr>
          <w:cantSplit/>
        </w:trPr>
        <w:tc>
          <w:tcPr>
            <w:tcW w:type="dxa" w:w="14400"/>
            <w:shd w:fill="183B56" w:val="clear"/>
            <w:tcMar>
              <w:top w:w="72" w:type="dxa"/>
              <w:start w:w="92" w:type="dxa"/>
              <w:bottom w:w="72" w:type="dxa"/>
              <w:end w:w="92" w:type="dxa"/>
            </w:tcMar>
            <w:vAlign w:val="center"/>
          </w:tcPr>
          <w:p>
            <w:pPr>
              <w:spacing w:before="0" w:after="0" w:line="240" w:lineRule="auto"/>
              <w:jc w:val="left"/>
            </w:pPr>
            <w:r/>
            <w:r>
              <w:rPr>
                <w:rFonts w:ascii="Aptos" w:hAnsi="Aptos"/>
                <w:b/>
                <w:i w:val="0"/>
                <w:color w:val="FFFFFF"/>
                <w:sz w:val="17"/>
              </w:rPr>
              <w:t>B. Employee Notification</w:t>
            </w:r>
          </w:p>
        </w:tc>
      </w:tr>
      <w:tr>
        <w:trPr>
          <w:trHeight w:val="2232" w:hRule="atLeast"/>
          <w:cantSplit/>
        </w:trPr>
        <w:tc>
          <w:tcPr>
            <w:tcW w:type="dxa" w:w="14400"/>
            <w:shd w:fill="F6F8F9" w:val="clear"/>
            <w:tcMar>
              <w:top w:w="105" w:type="dxa"/>
              <w:start w:w="115" w:type="dxa"/>
              <w:bottom w:w="105" w:type="dxa"/>
              <w:end w:w="115" w:type="dxa"/>
            </w:tcMar>
            <w:vAlign w:val="top"/>
          </w:tcPr>
          <w:p>
            <w:pPr>
              <w:spacing w:before="0" w:after="0" w:line="240" w:lineRule="auto"/>
            </w:pPr>
            <w:r/>
            <w:r>
              <w:rPr>
                <w:rFonts w:ascii="Aptos" w:hAnsi="Aptos"/>
                <w:b w:val="0"/>
                <w:i w:val="0"/>
                <w:color w:val="1F2B33"/>
                <w:sz w:val="18"/>
              </w:rPr>
              <w:t>We are currently experiencing [disruption].</w:t>
            </w:r>
          </w:p>
          <w:p>
            <w:pPr>
              <w:spacing w:before="0" w:after="0" w:line="240" w:lineRule="auto"/>
            </w:pPr>
            <w:r>
              <w:rPr>
                <w:rFonts w:ascii="Aptos" w:hAnsi="Aptos"/>
                <w:b w:val="0"/>
                <w:i w:val="0"/>
                <w:color w:val="1F2B33"/>
                <w:sz w:val="18"/>
              </w:rPr>
              <w:t>At this time, [workplace/operations status].</w:t>
            </w:r>
          </w:p>
          <w:p>
            <w:pPr>
              <w:spacing w:before="0" w:after="0" w:line="240" w:lineRule="auto"/>
            </w:pPr>
            <w:r>
              <w:rPr>
                <w:rFonts w:ascii="Aptos" w:hAnsi="Aptos"/>
                <w:b w:val="0"/>
                <w:i w:val="0"/>
                <w:color w:val="1F2B33"/>
                <w:sz w:val="18"/>
              </w:rPr>
              <w:t>Employees should [instruction].</w:t>
            </w:r>
          </w:p>
          <w:p>
            <w:pPr>
              <w:spacing w:before="0" w:after="0" w:line="240" w:lineRule="auto"/>
            </w:pPr>
            <w:r>
              <w:rPr>
                <w:rFonts w:ascii="Aptos" w:hAnsi="Aptos"/>
                <w:b w:val="0"/>
                <w:i w:val="0"/>
                <w:color w:val="1F2B33"/>
                <w:sz w:val="18"/>
              </w:rPr>
              <w:t>Please confirm your status through [method].</w:t>
            </w:r>
          </w:p>
          <w:p>
            <w:pPr>
              <w:spacing w:before="0" w:after="0" w:line="240" w:lineRule="auto"/>
            </w:pPr>
            <w:r>
              <w:rPr>
                <w:rFonts w:ascii="Aptos" w:hAnsi="Aptos"/>
                <w:b w:val="0"/>
                <w:i w:val="0"/>
                <w:color w:val="1F2B33"/>
                <w:sz w:val="18"/>
              </w:rPr>
              <w:t>The next official update will be provided by [time] through [channel].</w:t>
            </w:r>
          </w:p>
        </w:tc>
      </w:tr>
    </w:tbl>
    <w:p>
      <w:pPr>
        <w:spacing w:before="0" w:after="80"/>
      </w:pPr>
      <w:r/>
    </w:p>
    <w:tbl>
      <w:tblPr>
        <w:tblW w:type="auto" w:w="0"/>
        <w:jc w:val="center"/>
        <w:tblLayout w:type="fixed"/>
        <w:tblLook w:firstColumn="1" w:firstRow="1" w:lastColumn="0" w:lastRow="0" w:noHBand="0" w:noVBand="1" w:val="04A0"/>
        <w:tblBorders>
          <w:top w:val="single" w:sz="4" w:space="0" w:color="D3E0E6"/>
          <w:left w:val="single" w:sz="4" w:space="0" w:color="D3E0E6"/>
          <w:bottom w:val="single" w:sz="4" w:space="0" w:color="D3E0E6"/>
          <w:right w:val="single" w:sz="4" w:space="0" w:color="D3E0E6"/>
          <w:insideH w:val="single" w:sz="4" w:space="0" w:color="D3E0E6"/>
          <w:insideV w:val="single" w:sz="4" w:space="0" w:color="D3E0E6"/>
        </w:tblBorders>
      </w:tblPr>
      <w:tblGrid>
        <w:gridCol w:w="14400"/>
      </w:tblGrid>
      <w:tr>
        <w:tc>
          <w:tcPr>
            <w:tcW w:type="dxa" w:w="14400"/>
            <w:shd w:fill="EAF1F4" w:val="clear"/>
            <w:tcMar>
              <w:top w:w="100" w:type="dxa"/>
              <w:start w:w="115" w:type="dxa"/>
              <w:bottom w:w="100" w:type="dxa"/>
              <w:end w:w="115" w:type="dxa"/>
            </w:tcMar>
            <w:vAlign w:val="center"/>
          </w:tcPr>
          <w:p>
            <w:pPr>
              <w:spacing w:before="0" w:after="40" w:line="240" w:lineRule="auto"/>
            </w:pPr>
            <w:r/>
            <w:r>
              <w:rPr>
                <w:rFonts w:ascii="Aptos" w:hAnsi="Aptos"/>
                <w:b/>
                <w:i w:val="0"/>
                <w:color w:val="183B56"/>
                <w:sz w:val="17"/>
              </w:rPr>
              <w:t>Before release</w:t>
            </w:r>
          </w:p>
          <w:p>
            <w:pPr>
              <w:spacing w:before="0" w:after="0" w:line="240" w:lineRule="auto"/>
            </w:pPr>
            <w:r>
              <w:rPr>
                <w:rFonts w:ascii="Aptos" w:hAnsi="Aptos"/>
                <w:b w:val="0"/>
                <w:i w:val="0"/>
                <w:color w:val="1F2B33"/>
                <w:sz w:val="16"/>
              </w:rPr>
              <w:t>Confirm the operating status, the action required, any limitations or alternative arrangements, the authorized sender and the time of the next update.</w:t>
            </w:r>
          </w:p>
        </w:tc>
      </w:tr>
    </w:tbl>
    <w:p>
      <w:r>
        <w:br w:type="page"/>
      </w:r>
    </w:p>
    <w:p>
      <w:pPr>
        <w:pStyle w:val="SectionHead"/>
        <w:keepNext/>
        <w:spacing w:before="0" w:after="80"/>
      </w:pPr>
      <w:r>
        <w:t>3. Ready-to-Use Message Templates — Continued</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14400"/>
      </w:tblGrid>
      <w:tr>
        <w:trPr>
          <w:cantSplit/>
        </w:trPr>
        <w:tc>
          <w:tcPr>
            <w:tcW w:type="dxa" w:w="14400"/>
            <w:shd w:fill="183B56" w:val="clear"/>
            <w:tcMar>
              <w:top w:w="72" w:type="dxa"/>
              <w:start w:w="92" w:type="dxa"/>
              <w:bottom w:w="72" w:type="dxa"/>
              <w:end w:w="92" w:type="dxa"/>
            </w:tcMar>
            <w:vAlign w:val="center"/>
          </w:tcPr>
          <w:p>
            <w:pPr>
              <w:spacing w:before="0" w:after="0" w:line="240" w:lineRule="auto"/>
              <w:jc w:val="left"/>
            </w:pPr>
            <w:r/>
            <w:r>
              <w:rPr>
                <w:rFonts w:ascii="Aptos" w:hAnsi="Aptos"/>
                <w:b/>
                <w:i w:val="0"/>
                <w:color w:val="FFFFFF"/>
                <w:sz w:val="17"/>
              </w:rPr>
              <w:t>C. Temporary Closure</w:t>
            </w:r>
          </w:p>
        </w:tc>
      </w:tr>
      <w:tr>
        <w:trPr>
          <w:trHeight w:val="1757" w:hRule="atLeast"/>
          <w:cantSplit/>
        </w:trPr>
        <w:tc>
          <w:tcPr>
            <w:tcW w:type="dxa" w:w="14400"/>
            <w:shd w:fill="F6F8F9" w:val="clear"/>
            <w:tcMar>
              <w:top w:w="105" w:type="dxa"/>
              <w:start w:w="115" w:type="dxa"/>
              <w:bottom w:w="105" w:type="dxa"/>
              <w:end w:w="115" w:type="dxa"/>
            </w:tcMar>
            <w:vAlign w:val="top"/>
          </w:tcPr>
          <w:p>
            <w:pPr>
              <w:spacing w:before="0" w:after="0" w:line="240" w:lineRule="auto"/>
            </w:pPr>
            <w:r/>
            <w:r>
              <w:rPr>
                <w:rFonts w:ascii="Aptos" w:hAnsi="Aptos"/>
                <w:b w:val="0"/>
                <w:i w:val="0"/>
                <w:color w:val="1F2B33"/>
                <w:sz w:val="18"/>
              </w:rPr>
              <w:t>Due to [disruption], [Business Name] is temporarily closed.</w:t>
            </w:r>
          </w:p>
          <w:p>
            <w:pPr>
              <w:spacing w:before="0" w:after="0" w:line="240" w:lineRule="auto"/>
            </w:pPr>
            <w:r>
              <w:rPr>
                <w:rFonts w:ascii="Aptos" w:hAnsi="Aptos"/>
                <w:b w:val="0"/>
                <w:i w:val="0"/>
                <w:color w:val="1F2B33"/>
                <w:sz w:val="18"/>
              </w:rPr>
              <w:t>We are working to restore operations as safely and quickly as possible.</w:t>
            </w:r>
          </w:p>
          <w:p>
            <w:pPr>
              <w:spacing w:before="0" w:after="0" w:line="240" w:lineRule="auto"/>
            </w:pPr>
            <w:r>
              <w:rPr>
                <w:rFonts w:ascii="Aptos" w:hAnsi="Aptos"/>
                <w:b w:val="0"/>
                <w:i w:val="0"/>
                <w:color w:val="1F2B33"/>
                <w:sz w:val="18"/>
              </w:rPr>
              <w:t>During this period, [customer instructions/alternative arrangements].</w:t>
            </w:r>
          </w:p>
          <w:p>
            <w:pPr>
              <w:spacing w:before="0" w:after="0" w:line="240" w:lineRule="auto"/>
            </w:pPr>
            <w:r>
              <w:rPr>
                <w:rFonts w:ascii="Aptos" w:hAnsi="Aptos"/>
                <w:b w:val="0"/>
                <w:i w:val="0"/>
                <w:color w:val="1F2B33"/>
                <w:sz w:val="18"/>
              </w:rPr>
              <w:t>We will provide another update by [time/date].</w:t>
            </w:r>
          </w:p>
        </w:tc>
      </w:tr>
    </w:tbl>
    <w:p>
      <w:pPr>
        <w:spacing w:before="0" w:after="80"/>
      </w:pPr>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14400"/>
      </w:tblGrid>
      <w:tr>
        <w:trPr>
          <w:cantSplit/>
        </w:trPr>
        <w:tc>
          <w:tcPr>
            <w:tcW w:type="dxa" w:w="14400"/>
            <w:shd w:fill="183B56" w:val="clear"/>
            <w:tcMar>
              <w:top w:w="72" w:type="dxa"/>
              <w:start w:w="92" w:type="dxa"/>
              <w:bottom w:w="72" w:type="dxa"/>
              <w:end w:w="92" w:type="dxa"/>
            </w:tcMar>
            <w:vAlign w:val="center"/>
          </w:tcPr>
          <w:p>
            <w:pPr>
              <w:spacing w:before="0" w:after="0" w:line="240" w:lineRule="auto"/>
              <w:jc w:val="left"/>
            </w:pPr>
            <w:r/>
            <w:r>
              <w:rPr>
                <w:rFonts w:ascii="Aptos" w:hAnsi="Aptos"/>
                <w:b/>
                <w:i w:val="0"/>
                <w:color w:val="FFFFFF"/>
                <w:sz w:val="17"/>
              </w:rPr>
              <w:t>D. Limited Operations</w:t>
            </w:r>
          </w:p>
        </w:tc>
      </w:tr>
      <w:tr>
        <w:trPr>
          <w:trHeight w:val="1757" w:hRule="atLeast"/>
          <w:cantSplit/>
        </w:trPr>
        <w:tc>
          <w:tcPr>
            <w:tcW w:type="dxa" w:w="14400"/>
            <w:shd w:fill="F6F8F9" w:val="clear"/>
            <w:tcMar>
              <w:top w:w="105" w:type="dxa"/>
              <w:start w:w="115" w:type="dxa"/>
              <w:bottom w:w="105" w:type="dxa"/>
              <w:end w:w="115" w:type="dxa"/>
            </w:tcMar>
            <w:vAlign w:val="top"/>
          </w:tcPr>
          <w:p>
            <w:pPr>
              <w:spacing w:before="0" w:after="0" w:line="240" w:lineRule="auto"/>
            </w:pPr>
            <w:r/>
            <w:r>
              <w:rPr>
                <w:rFonts w:ascii="Aptos" w:hAnsi="Aptos"/>
                <w:b w:val="0"/>
                <w:i w:val="0"/>
                <w:color w:val="1F2B33"/>
                <w:sz w:val="18"/>
              </w:rPr>
              <w:t>[Business Name] is currently operating on a limited basis following [disruption].</w:t>
            </w:r>
          </w:p>
          <w:p>
            <w:pPr>
              <w:spacing w:before="0" w:after="0" w:line="240" w:lineRule="auto"/>
            </w:pPr>
            <w:r>
              <w:rPr>
                <w:rFonts w:ascii="Aptos" w:hAnsi="Aptos"/>
                <w:b w:val="0"/>
                <w:i w:val="0"/>
                <w:color w:val="1F2B33"/>
                <w:sz w:val="18"/>
              </w:rPr>
              <w:t>The following services remain available: [services].</w:t>
            </w:r>
          </w:p>
          <w:p>
            <w:pPr>
              <w:spacing w:before="0" w:after="0" w:line="240" w:lineRule="auto"/>
            </w:pPr>
            <w:r>
              <w:rPr>
                <w:rFonts w:ascii="Aptos" w:hAnsi="Aptos"/>
                <w:b w:val="0"/>
                <w:i w:val="0"/>
                <w:color w:val="1F2B33"/>
                <w:sz w:val="18"/>
              </w:rPr>
              <w:t>The following services are temporarily unavailable or delayed: [services].</w:t>
            </w:r>
          </w:p>
          <w:p>
            <w:pPr>
              <w:spacing w:before="0" w:after="0" w:line="240" w:lineRule="auto"/>
            </w:pPr>
            <w:r>
              <w:rPr>
                <w:rFonts w:ascii="Aptos" w:hAnsi="Aptos"/>
                <w:b w:val="0"/>
                <w:i w:val="0"/>
                <w:color w:val="1F2B33"/>
                <w:sz w:val="18"/>
              </w:rPr>
              <w:t>Customers can reach us through [channel].</w:t>
            </w:r>
          </w:p>
        </w:tc>
      </w:tr>
    </w:tbl>
    <w:p>
      <w:pPr>
        <w:spacing w:before="0" w:after="80"/>
      </w:pPr>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14400"/>
      </w:tblGrid>
      <w:tr>
        <w:trPr>
          <w:cantSplit/>
        </w:trPr>
        <w:tc>
          <w:tcPr>
            <w:tcW w:type="dxa" w:w="14400"/>
            <w:shd w:fill="183B56" w:val="clear"/>
            <w:tcMar>
              <w:top w:w="72" w:type="dxa"/>
              <w:start w:w="92" w:type="dxa"/>
              <w:bottom w:w="72" w:type="dxa"/>
              <w:end w:w="92" w:type="dxa"/>
            </w:tcMar>
            <w:vAlign w:val="center"/>
          </w:tcPr>
          <w:p>
            <w:pPr>
              <w:spacing w:before="0" w:after="0" w:line="240" w:lineRule="auto"/>
              <w:jc w:val="left"/>
            </w:pPr>
            <w:r/>
            <w:r>
              <w:rPr>
                <w:rFonts w:ascii="Aptos" w:hAnsi="Aptos"/>
                <w:b/>
                <w:i w:val="0"/>
                <w:color w:val="FFFFFF"/>
                <w:sz w:val="17"/>
              </w:rPr>
              <w:t>E. Reopening / Resumption of Operations</w:t>
            </w:r>
          </w:p>
        </w:tc>
      </w:tr>
      <w:tr>
        <w:trPr>
          <w:trHeight w:val="1555" w:hRule="atLeast"/>
          <w:cantSplit/>
        </w:trPr>
        <w:tc>
          <w:tcPr>
            <w:tcW w:type="dxa" w:w="14400"/>
            <w:shd w:fill="F6F8F9" w:val="clear"/>
            <w:tcMar>
              <w:top w:w="105" w:type="dxa"/>
              <w:start w:w="115" w:type="dxa"/>
              <w:bottom w:w="105" w:type="dxa"/>
              <w:end w:w="115" w:type="dxa"/>
            </w:tcMar>
            <w:vAlign w:val="top"/>
          </w:tcPr>
          <w:p>
            <w:pPr>
              <w:spacing w:before="0" w:after="0" w:line="240" w:lineRule="auto"/>
            </w:pPr>
            <w:r/>
            <w:r>
              <w:rPr>
                <w:rFonts w:ascii="Aptos" w:hAnsi="Aptos"/>
                <w:b w:val="0"/>
                <w:i w:val="0"/>
                <w:color w:val="1F2B33"/>
                <w:sz w:val="18"/>
              </w:rPr>
              <w:t>We are pleased to advise that [Business Name] will [reopen/resume operations] effective [date/time].</w:t>
            </w:r>
          </w:p>
          <w:p>
            <w:pPr>
              <w:spacing w:before="0" w:after="0" w:line="240" w:lineRule="auto"/>
            </w:pPr>
            <w:r>
              <w:rPr>
                <w:rFonts w:ascii="Aptos" w:hAnsi="Aptos"/>
                <w:b w:val="0"/>
                <w:i w:val="0"/>
                <w:color w:val="1F2B33"/>
                <w:sz w:val="18"/>
              </w:rPr>
              <w:t>[Any remaining limitations.]</w:t>
            </w:r>
          </w:p>
          <w:p>
            <w:pPr>
              <w:spacing w:before="0" w:after="0" w:line="240" w:lineRule="auto"/>
            </w:pPr>
            <w:r>
              <w:rPr>
                <w:rFonts w:ascii="Aptos" w:hAnsi="Aptos"/>
                <w:b w:val="0"/>
                <w:i w:val="0"/>
                <w:color w:val="1F2B33"/>
                <w:sz w:val="18"/>
              </w:rPr>
              <w:t>We thank our employees, customers, suppliers and partners for their patience and support.</w:t>
            </w:r>
          </w:p>
        </w:tc>
      </w:tr>
    </w:tbl>
    <w:p>
      <w:r>
        <w:br w:type="page"/>
      </w:r>
    </w:p>
    <w:p>
      <w:pPr>
        <w:pStyle w:val="SectionHead"/>
        <w:keepNext/>
        <w:spacing w:before="0" w:after="80"/>
      </w:pPr>
      <w:r>
        <w:t>4. Communication Cadence &amp; Update Schedule</w:t>
      </w:r>
    </w:p>
    <w:p>
      <w:pPr>
        <w:keepNext w:val="0"/>
        <w:spacing w:before="0" w:after="80" w:line="240" w:lineRule="auto"/>
      </w:pPr>
      <w:r>
        <w:rPr>
          <w:rFonts w:ascii="Aptos" w:hAnsi="Aptos"/>
          <w:b w:val="0"/>
          <w:i w:val="0"/>
          <w:color w:val="1F2B33"/>
          <w:sz w:val="17"/>
        </w:rPr>
        <w:t>During a disruption, stakeholders may need updates even when there is little new information to report. Decide in advance how soon the first update should be issued, how often each audience should hear from the business, who will provide the update and which primary and backup channels will be used.</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2400"/>
        <w:gridCol w:w="2400"/>
        <w:gridCol w:w="2400"/>
        <w:gridCol w:w="2400"/>
        <w:gridCol w:w="2400"/>
        <w:gridCol w:w="2400"/>
      </w:tblGrid>
      <w:tr>
        <w:trPr>
          <w:tblHeader w:val="true"/>
          <w:cantSplit/>
        </w:trPr>
        <w:tc>
          <w:tcPr>
            <w:tcW w:type="dxa" w:w="2232"/>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Audience</w:t>
            </w:r>
          </w:p>
        </w:tc>
        <w:tc>
          <w:tcPr>
            <w:tcW w:type="dxa" w:w="208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First Update By</w:t>
            </w:r>
          </w:p>
        </w:tc>
        <w:tc>
          <w:tcPr>
            <w:tcW w:type="dxa" w:w="2376"/>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Update Frequency</w:t>
            </w:r>
          </w:p>
        </w:tc>
        <w:tc>
          <w:tcPr>
            <w:tcW w:type="dxa" w:w="2664"/>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Responsible Person</w:t>
            </w:r>
          </w:p>
        </w:tc>
        <w:tc>
          <w:tcPr>
            <w:tcW w:type="dxa" w:w="252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Primary Channel</w:t>
            </w:r>
          </w:p>
        </w:tc>
        <w:tc>
          <w:tcPr>
            <w:tcW w:type="dxa" w:w="252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Backup Channel</w:t>
            </w:r>
          </w:p>
        </w:tc>
      </w:tr>
      <w:tr>
        <w:trPr>
          <w:trHeight w:val="691" w:hRule="atLeast"/>
          <w:cantSplit/>
        </w:trPr>
        <w:tc>
          <w:tcPr>
            <w:tcW w:type="dxa" w:w="223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Employees</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66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91" w:hRule="atLeast"/>
          <w:cantSplit/>
        </w:trPr>
        <w:tc>
          <w:tcPr>
            <w:tcW w:type="dxa" w:w="223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Customers</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66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91" w:hRule="atLeast"/>
          <w:cantSplit/>
        </w:trPr>
        <w:tc>
          <w:tcPr>
            <w:tcW w:type="dxa" w:w="223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Suppliers / partners</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66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91" w:hRule="atLeast"/>
          <w:cantSplit/>
        </w:trPr>
        <w:tc>
          <w:tcPr>
            <w:tcW w:type="dxa" w:w="223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Bank / insurer</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66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91" w:hRule="atLeast"/>
          <w:cantSplit/>
        </w:trPr>
        <w:tc>
          <w:tcPr>
            <w:tcW w:type="dxa" w:w="223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Government / regulator</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66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91" w:hRule="atLeast"/>
          <w:cantSplit/>
        </w:trPr>
        <w:tc>
          <w:tcPr>
            <w:tcW w:type="dxa" w:w="2232"/>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Public / media</w:t>
            </w:r>
          </w:p>
        </w:tc>
        <w:tc>
          <w:tcPr>
            <w:tcW w:type="dxa" w:w="208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37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664"/>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bl>
    <w:p>
      <w:pPr>
        <w:pStyle w:val="SmallHead"/>
        <w:keepNext/>
        <w:spacing w:before="20" w:after="40"/>
      </w:pPr>
      <w:r>
        <w:t>When there is little new information</w:t>
      </w:r>
    </w:p>
    <w:tbl>
      <w:tblPr>
        <w:tblW w:type="auto" w:w="0"/>
        <w:jc w:val="center"/>
        <w:tblLayout w:type="fixed"/>
        <w:tblLook w:firstColumn="1" w:firstRow="1" w:lastColumn="0" w:lastRow="0" w:noHBand="0" w:noVBand="1" w:val="04A0"/>
        <w:tblBorders>
          <w:top w:val="single" w:sz="4" w:space="0" w:color="D3E0E6"/>
          <w:left w:val="single" w:sz="4" w:space="0" w:color="D3E0E6"/>
          <w:bottom w:val="single" w:sz="4" w:space="0" w:color="D3E0E6"/>
          <w:right w:val="single" w:sz="4" w:space="0" w:color="D3E0E6"/>
          <w:insideH w:val="single" w:sz="4" w:space="0" w:color="D3E0E6"/>
          <w:insideV w:val="single" w:sz="4" w:space="0" w:color="D3E0E6"/>
        </w:tblBorders>
      </w:tblPr>
      <w:tblGrid>
        <w:gridCol w:w="14400"/>
      </w:tblGrid>
      <w:tr>
        <w:tc>
          <w:tcPr>
            <w:tcW w:type="dxa" w:w="14400"/>
            <w:shd w:fill="F6F8F9" w:val="clear"/>
            <w:tcMar>
              <w:top w:w="100" w:type="dxa"/>
              <w:start w:w="115" w:type="dxa"/>
              <w:bottom w:w="100" w:type="dxa"/>
              <w:end w:w="115" w:type="dxa"/>
            </w:tcMar>
            <w:vAlign w:val="center"/>
          </w:tcPr>
          <w:p>
            <w:pPr>
              <w:spacing w:before="0" w:after="40" w:line="240" w:lineRule="auto"/>
            </w:pPr>
            <w:r/>
            <w:r>
              <w:rPr>
                <w:rFonts w:ascii="Aptos" w:hAnsi="Aptos"/>
                <w:b/>
                <w:i w:val="0"/>
                <w:color w:val="183B56"/>
                <w:sz w:val="17"/>
              </w:rPr>
              <w:t>Update template</w:t>
            </w:r>
          </w:p>
          <w:p>
            <w:pPr>
              <w:spacing w:before="0" w:after="0" w:line="240" w:lineRule="auto"/>
            </w:pPr>
            <w:r>
              <w:rPr>
                <w:rFonts w:ascii="Aptos" w:hAnsi="Aptos"/>
                <w:b w:val="0"/>
                <w:i w:val="0"/>
                <w:color w:val="1F2B33"/>
                <w:sz w:val="17"/>
              </w:rPr>
              <w:t>[Business Name] continues to assess [disruption]. At this time, [current operating status]. [Audience] should continue to [action]. Our next update will be provided by [time/date] through [channel].</w:t>
            </w:r>
          </w:p>
        </w:tc>
      </w:tr>
    </w:tbl>
    <w:p>
      <w:pPr>
        <w:pStyle w:val="SmallHead"/>
        <w:keepNext/>
        <w:spacing w:before="20" w:after="40"/>
      </w:pPr>
      <w:r>
        <w:t>Review the cadence as operations change</w:t>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4800"/>
        <w:gridCol w:w="4800"/>
        <w:gridCol w:w="4800"/>
      </w:tblGrid>
      <w:tr>
        <w:trPr>
          <w:cantSplit/>
        </w:trPr>
        <w:tc>
          <w:tcPr>
            <w:tcW w:type="dxa" w:w="4795"/>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Continuity Operations</w:t>
            </w:r>
          </w:p>
          <w:p>
            <w:pPr>
              <w:spacing w:before="0" w:after="20" w:line="240" w:lineRule="auto"/>
            </w:pPr>
            <w:r>
              <w:rPr>
                <w:rFonts w:ascii="Aptos" w:hAnsi="Aptos"/>
                <w:b w:val="0"/>
                <w:i w:val="0"/>
                <w:color w:val="1F2B33"/>
                <w:sz w:val="15"/>
              </w:rPr>
              <w:t>- Provide instructions, operating status and immediate alternatives.</w:t>
            </w:r>
          </w:p>
          <w:p>
            <w:pPr>
              <w:spacing w:before="0" w:after="20" w:line="240" w:lineRule="auto"/>
            </w:pPr>
            <w:r>
              <w:rPr>
                <w:rFonts w:ascii="Aptos" w:hAnsi="Aptos"/>
                <w:b w:val="0"/>
                <w:i w:val="0"/>
                <w:color w:val="1F2B33"/>
                <w:sz w:val="15"/>
              </w:rPr>
              <w:t>- Keep updates predictable while conditions change quickly.</w:t>
            </w:r>
          </w:p>
        </w:tc>
        <w:tc>
          <w:tcPr>
            <w:tcW w:type="dxa" w:w="4795"/>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Recovery Operations</w:t>
            </w:r>
          </w:p>
          <w:p>
            <w:pPr>
              <w:spacing w:before="0" w:after="20" w:line="240" w:lineRule="auto"/>
            </w:pPr>
            <w:r>
              <w:rPr>
                <w:rFonts w:ascii="Aptos" w:hAnsi="Aptos"/>
                <w:b w:val="0"/>
                <w:i w:val="0"/>
                <w:color w:val="1F2B33"/>
                <w:sz w:val="15"/>
              </w:rPr>
              <w:t>- Explain restoration progress, service availability and continuing limitations.</w:t>
            </w:r>
          </w:p>
          <w:p>
            <w:pPr>
              <w:spacing w:before="0" w:after="20" w:line="240" w:lineRule="auto"/>
            </w:pPr>
            <w:r>
              <w:rPr>
                <w:rFonts w:ascii="Aptos" w:hAnsi="Aptos"/>
                <w:b w:val="0"/>
                <w:i w:val="0"/>
                <w:color w:val="1F2B33"/>
                <w:sz w:val="15"/>
              </w:rPr>
              <w:t>- Update reopening or recovery milestones.</w:t>
            </w:r>
          </w:p>
        </w:tc>
        <w:tc>
          <w:tcPr>
            <w:tcW w:type="dxa" w:w="4809"/>
            <w:shd w:fill="F6F8F9" w:val="clear"/>
            <w:tcMar>
              <w:top w:w="100" w:type="dxa"/>
              <w:start w:w="105" w:type="dxa"/>
              <w:bottom w:w="100" w:type="dxa"/>
              <w:end w:w="105" w:type="dxa"/>
            </w:tcMar>
            <w:vAlign w:val="top"/>
          </w:tcPr>
          <w:p>
            <w:pPr>
              <w:spacing w:before="0" w:after="60" w:line="240" w:lineRule="auto"/>
            </w:pPr>
            <w:r/>
            <w:r>
              <w:rPr>
                <w:rFonts w:ascii="Aptos" w:hAnsi="Aptos"/>
                <w:b/>
                <w:i w:val="0"/>
                <w:color w:val="2B6F73"/>
                <w:sz w:val="17"/>
              </w:rPr>
              <w:t>Normal Operations</w:t>
            </w:r>
          </w:p>
          <w:p>
            <w:pPr>
              <w:spacing w:before="0" w:after="20" w:line="240" w:lineRule="auto"/>
            </w:pPr>
            <w:r>
              <w:rPr>
                <w:rFonts w:ascii="Aptos" w:hAnsi="Aptos"/>
                <w:b w:val="0"/>
                <w:i w:val="0"/>
                <w:color w:val="1F2B33"/>
                <w:sz w:val="15"/>
              </w:rPr>
              <w:t>- Confirm normal service has resumed or identify any remaining restrictions.</w:t>
            </w:r>
          </w:p>
          <w:p>
            <w:pPr>
              <w:spacing w:before="0" w:after="20" w:line="240" w:lineRule="auto"/>
            </w:pPr>
            <w:r>
              <w:rPr>
                <w:rFonts w:ascii="Aptos" w:hAnsi="Aptos"/>
                <w:b w:val="0"/>
                <w:i w:val="0"/>
                <w:color w:val="1F2B33"/>
                <w:sz w:val="15"/>
              </w:rPr>
              <w:t>- Close the communication cycle and review what should improve.</w:t>
            </w:r>
          </w:p>
        </w:tc>
      </w:tr>
    </w:tbl>
    <w:p>
      <w:r>
        <w:br w:type="page"/>
      </w:r>
    </w:p>
    <w:p>
      <w:pPr>
        <w:pStyle w:val="SectionHead"/>
        <w:keepNext/>
        <w:spacing w:before="0" w:after="80"/>
      </w:pPr>
      <w:r>
        <w:t>5. Trusted Information Sources</w:t>
      </w:r>
    </w:p>
    <w:p>
      <w:pPr>
        <w:keepNext w:val="0"/>
        <w:spacing w:before="0" w:after="80" w:line="240" w:lineRule="auto"/>
      </w:pPr>
      <w:r>
        <w:rPr>
          <w:rFonts w:ascii="Aptos" w:hAnsi="Aptos"/>
          <w:b w:val="0"/>
          <w:i w:val="0"/>
          <w:color w:val="1F2B33"/>
          <w:sz w:val="17"/>
        </w:rPr>
        <w:t>Identify the official or otherwise trusted sources your business will use before making continuity decisions or communicating with stakeholders. Record how each source is accessed and what backup source or contact will be used if the normal access method is unavailable.</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2880"/>
        <w:gridCol w:w="2880"/>
        <w:gridCol w:w="2880"/>
        <w:gridCol w:w="2880"/>
        <w:gridCol w:w="2880"/>
      </w:tblGrid>
      <w:tr>
        <w:trPr>
          <w:tblHeader w:val="true"/>
          <w:cantSplit/>
        </w:trPr>
        <w:tc>
          <w:tcPr>
            <w:tcW w:type="dxa" w:w="3024"/>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Information Needed</w:t>
            </w:r>
          </w:p>
        </w:tc>
        <w:tc>
          <w:tcPr>
            <w:tcW w:type="dxa" w:w="352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Trusted Source</w:t>
            </w:r>
          </w:p>
        </w:tc>
        <w:tc>
          <w:tcPr>
            <w:tcW w:type="dxa" w:w="252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How Accessed</w:t>
            </w:r>
          </w:p>
        </w:tc>
        <w:tc>
          <w:tcPr>
            <w:tcW w:type="dxa" w:w="3671"/>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Backup Source / Contact</w:t>
            </w:r>
          </w:p>
        </w:tc>
        <w:tc>
          <w:tcPr>
            <w:tcW w:type="dxa" w:w="1655"/>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4"/>
              </w:rPr>
              <w:t>Date Last Verified</w:t>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Weather / hazard information</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National disaster information</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t>Disaster Risk Management Authority</w:t>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Utilities</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Ports / airports / transport</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Regulatory information</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Banking / insurance</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Technology / telecommunications</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77" w:hRule="atLeast"/>
          <w:cantSplit/>
        </w:trPr>
        <w:tc>
          <w:tcPr>
            <w:tcW w:type="dxa" w:w="3024"/>
            <w:shd w:fill="F6F8F9" w:val="clear"/>
            <w:tcMar>
              <w:top w:w="88" w:type="dxa"/>
              <w:start w:w="90" w:type="dxa"/>
              <w:bottom w:w="88" w:type="dxa"/>
              <w:end w:w="90" w:type="dxa"/>
            </w:tcMar>
            <w:vAlign w:val="center"/>
          </w:tcPr>
          <w:p>
            <w:pPr>
              <w:spacing w:before="0" w:after="0" w:line="240" w:lineRule="auto"/>
              <w:jc w:val="left"/>
            </w:pPr>
            <w:r/>
            <w:r>
              <w:rPr>
                <w:rFonts w:ascii="Aptos" w:hAnsi="Aptos"/>
                <w:b/>
                <w:i w:val="0"/>
                <w:color w:val="1F2B33"/>
                <w:sz w:val="15"/>
              </w:rPr>
              <w:t>Other:</w:t>
            </w:r>
          </w:p>
        </w:tc>
        <w:tc>
          <w:tcPr>
            <w:tcW w:type="dxa" w:w="35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52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3671"/>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65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bl>
    <w:tbl>
      <w:tblPr>
        <w:tblW w:type="auto" w:w="0"/>
        <w:jc w:val="center"/>
        <w:tblLayout w:type="fixed"/>
        <w:tblLook w:firstColumn="1" w:firstRow="1" w:lastColumn="0" w:lastRow="0" w:noHBand="0" w:noVBand="1" w:val="04A0"/>
        <w:tblBorders>
          <w:top w:val="single" w:sz="4" w:space="0" w:color="D3E0E6"/>
          <w:left w:val="single" w:sz="4" w:space="0" w:color="D3E0E6"/>
          <w:bottom w:val="single" w:sz="4" w:space="0" w:color="D3E0E6"/>
          <w:right w:val="single" w:sz="4" w:space="0" w:color="D3E0E6"/>
          <w:insideH w:val="single" w:sz="4" w:space="0" w:color="D3E0E6"/>
          <w:insideV w:val="single" w:sz="4" w:space="0" w:color="D3E0E6"/>
        </w:tblBorders>
      </w:tblPr>
      <w:tblGrid>
        <w:gridCol w:w="14400"/>
      </w:tblGrid>
      <w:tr>
        <w:tc>
          <w:tcPr>
            <w:tcW w:type="dxa" w:w="14400"/>
            <w:shd w:fill="F3E7C4" w:val="clear"/>
            <w:tcMar>
              <w:top w:w="100" w:type="dxa"/>
              <w:start w:w="115" w:type="dxa"/>
              <w:bottom w:w="100" w:type="dxa"/>
              <w:end w:w="115" w:type="dxa"/>
            </w:tcMar>
            <w:vAlign w:val="center"/>
          </w:tcPr>
          <w:p>
            <w:pPr>
              <w:spacing w:before="0" w:after="40" w:line="240" w:lineRule="auto"/>
            </w:pPr>
            <w:r/>
            <w:r>
              <w:rPr>
                <w:rFonts w:ascii="Aptos" w:hAnsi="Aptos"/>
                <w:b/>
                <w:i w:val="0"/>
                <w:color w:val="183B56"/>
                <w:sz w:val="17"/>
              </w:rPr>
              <w:t>Do not rely on unverified information</w:t>
            </w:r>
          </w:p>
          <w:p>
            <w:pPr>
              <w:spacing w:before="0" w:after="0" w:line="240" w:lineRule="auto"/>
            </w:pPr>
            <w:r>
              <w:rPr>
                <w:rFonts w:ascii="Aptos" w:hAnsi="Aptos"/>
                <w:b w:val="0"/>
                <w:i w:val="0"/>
                <w:color w:val="1F2B33"/>
                <w:sz w:val="16"/>
              </w:rPr>
              <w:t>Do not base major continuity decisions solely on rumours, screenshots or unverified social media posts. Save official links, numbers and access instructions in advance, and test whether they remain available if power, Internet or mobile service is disrupted.</w:t>
            </w:r>
          </w:p>
        </w:tc>
      </w:tr>
    </w:tbl>
    <w:p>
      <w:pPr>
        <w:pStyle w:val="SmallHead"/>
        <w:keepNext/>
        <w:spacing w:before="20" w:after="40"/>
      </w:pPr>
      <w:r>
        <w:t>Source access check</w:t>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3600"/>
        <w:gridCol w:w="3600"/>
        <w:gridCol w:w="3600"/>
        <w:gridCol w:w="3600"/>
      </w:tblGrid>
      <w:tr>
        <w:trPr>
          <w:cantSplit/>
        </w:trPr>
        <w:tc>
          <w:tcPr>
            <w:tcW w:type="dxa" w:w="3600"/>
            <w:shd w:fill="EAF1F4" w:val="clear"/>
            <w:tcMar>
              <w:top w:w="90" w:type="dxa"/>
              <w:start w:w="90" w:type="dxa"/>
              <w:bottom w:w="90" w:type="dxa"/>
              <w:end w:w="90" w:type="dxa"/>
            </w:tcMar>
            <w:vAlign w:val="center"/>
          </w:tcPr>
          <w:p>
            <w:pPr>
              <w:spacing w:before="0" w:after="0" w:line="240" w:lineRule="auto"/>
              <w:jc w:val="center"/>
            </w:pPr>
            <w:r/>
            <w:r>
              <w:rPr>
                <w:rFonts w:ascii="Aptos" w:hAnsi="Aptos"/>
                <w:b/>
                <w:i w:val="0"/>
                <w:color w:val="1F2B33"/>
                <w:sz w:val="15"/>
              </w:rPr>
              <w:t>☐ Official link/account saved</w:t>
            </w:r>
          </w:p>
        </w:tc>
        <w:tc>
          <w:tcPr>
            <w:tcW w:type="dxa" w:w="3600"/>
            <w:shd w:fill="EAF1F4" w:val="clear"/>
            <w:tcMar>
              <w:top w:w="90" w:type="dxa"/>
              <w:start w:w="90" w:type="dxa"/>
              <w:bottom w:w="90" w:type="dxa"/>
              <w:end w:w="90" w:type="dxa"/>
            </w:tcMar>
            <w:vAlign w:val="center"/>
          </w:tcPr>
          <w:p>
            <w:pPr>
              <w:spacing w:before="0" w:after="0" w:line="240" w:lineRule="auto"/>
              <w:jc w:val="center"/>
            </w:pPr>
            <w:r/>
            <w:r>
              <w:rPr>
                <w:rFonts w:ascii="Aptos" w:hAnsi="Aptos"/>
                <w:b/>
                <w:i w:val="0"/>
                <w:color w:val="1F2B33"/>
                <w:sz w:val="15"/>
              </w:rPr>
              <w:t>☐ Telephone or offline backup recorded</w:t>
            </w:r>
          </w:p>
        </w:tc>
        <w:tc>
          <w:tcPr>
            <w:tcW w:type="dxa" w:w="3600"/>
            <w:shd w:fill="EAF1F4" w:val="clear"/>
            <w:tcMar>
              <w:top w:w="90" w:type="dxa"/>
              <w:start w:w="90" w:type="dxa"/>
              <w:bottom w:w="90" w:type="dxa"/>
              <w:end w:w="90" w:type="dxa"/>
            </w:tcMar>
            <w:vAlign w:val="center"/>
          </w:tcPr>
          <w:p>
            <w:pPr>
              <w:spacing w:before="0" w:after="0" w:line="240" w:lineRule="auto"/>
              <w:jc w:val="center"/>
            </w:pPr>
            <w:r/>
            <w:r>
              <w:rPr>
                <w:rFonts w:ascii="Aptos" w:hAnsi="Aptos"/>
                <w:b/>
                <w:i w:val="0"/>
                <w:color w:val="1F2B33"/>
                <w:sz w:val="15"/>
              </w:rPr>
              <w:t>☐ Authorized staff know where to find it</w:t>
            </w:r>
          </w:p>
        </w:tc>
        <w:tc>
          <w:tcPr>
            <w:tcW w:type="dxa" w:w="3600"/>
            <w:shd w:fill="EAF1F4" w:val="clear"/>
            <w:tcMar>
              <w:top w:w="90" w:type="dxa"/>
              <w:start w:w="90" w:type="dxa"/>
              <w:bottom w:w="90" w:type="dxa"/>
              <w:end w:w="90" w:type="dxa"/>
            </w:tcMar>
            <w:vAlign w:val="center"/>
          </w:tcPr>
          <w:p>
            <w:pPr>
              <w:spacing w:before="0" w:after="0" w:line="240" w:lineRule="auto"/>
              <w:jc w:val="center"/>
            </w:pPr>
            <w:r/>
            <w:r>
              <w:rPr>
                <w:rFonts w:ascii="Aptos" w:hAnsi="Aptos"/>
                <w:b/>
                <w:i w:val="0"/>
                <w:color w:val="1F2B33"/>
                <w:sz w:val="15"/>
              </w:rPr>
              <w:t>☐ Source list reviewed and dated</w:t>
            </w:r>
          </w:p>
        </w:tc>
      </w:tr>
    </w:tbl>
    <w:p>
      <w:r>
        <w:br w:type="page"/>
      </w:r>
    </w:p>
    <w:p>
      <w:pPr>
        <w:pStyle w:val="SectionHead"/>
        <w:keepNext/>
        <w:spacing w:before="0" w:after="80"/>
      </w:pPr>
      <w:r>
        <w:t>6. Communication Log</w:t>
      </w:r>
    </w:p>
    <w:p>
      <w:pPr>
        <w:keepNext w:val="0"/>
        <w:spacing w:before="0" w:after="80" w:line="240" w:lineRule="auto"/>
      </w:pPr>
      <w:r>
        <w:rPr>
          <w:rFonts w:ascii="Aptos" w:hAnsi="Aptos"/>
          <w:b w:val="0"/>
          <w:i w:val="0"/>
          <w:color w:val="1F2B33"/>
          <w:sz w:val="17"/>
        </w:rPr>
        <w:t>Use this log during a disruption or exercise to record what was communicated, to whom, through which channel, by whom and when the next update is due. Keep it with the business’s continuity records so later decisions and Lessons Identified can be traced.</w:t>
      </w:r>
    </w:p>
    <w:tbl>
      <w:tblPr>
        <w:tblW w:type="auto" w:w="0"/>
        <w:jc w:val="center"/>
        <w:tblLayout w:type="fixed"/>
        <w:tblLook w:firstColumn="1" w:firstRow="1" w:lastColumn="0" w:lastRow="0" w:noHBand="0" w:noVBand="1" w:val="04A0"/>
        <w:tblBorders>
          <w:top w:val="single" w:sz="5" w:space="0" w:color="B7C8D1"/>
          <w:left w:val="single" w:sz="5" w:space="0" w:color="B7C8D1"/>
          <w:bottom w:val="single" w:sz="5" w:space="0" w:color="B7C8D1"/>
          <w:right w:val="single" w:sz="5" w:space="0" w:color="B7C8D1"/>
          <w:insideH w:val="single" w:sz="5" w:space="0" w:color="B7C8D1"/>
          <w:insideV w:val="single" w:sz="5" w:space="0" w:color="B7C8D1"/>
        </w:tblBorders>
      </w:tblPr>
      <w:tblGrid>
        <w:gridCol w:w="2400"/>
        <w:gridCol w:w="2400"/>
        <w:gridCol w:w="2400"/>
        <w:gridCol w:w="2400"/>
        <w:gridCol w:w="2400"/>
        <w:gridCol w:w="2400"/>
      </w:tblGrid>
      <w:tr>
        <w:trPr>
          <w:tblHeader w:val="true"/>
          <w:cantSplit/>
        </w:trPr>
        <w:tc>
          <w:tcPr>
            <w:tcW w:type="dxa" w:w="180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Date / Time</w:t>
            </w:r>
          </w:p>
        </w:tc>
        <w:tc>
          <w:tcPr>
            <w:tcW w:type="dxa" w:w="2015"/>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Audience</w:t>
            </w:r>
          </w:p>
        </w:tc>
        <w:tc>
          <w:tcPr>
            <w:tcW w:type="dxa" w:w="5256"/>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Message Provided</w:t>
            </w:r>
          </w:p>
        </w:tc>
        <w:tc>
          <w:tcPr>
            <w:tcW w:type="dxa" w:w="180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Channel</w:t>
            </w:r>
          </w:p>
        </w:tc>
        <w:tc>
          <w:tcPr>
            <w:tcW w:type="dxa" w:w="1800"/>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Sent By</w:t>
            </w:r>
          </w:p>
        </w:tc>
        <w:tc>
          <w:tcPr>
            <w:tcW w:type="dxa" w:w="1728"/>
            <w:shd w:fill="183B56" w:val="clear"/>
            <w:tcMar>
              <w:top w:w="72" w:type="dxa"/>
              <w:start w:w="72" w:type="dxa"/>
              <w:bottom w:w="72" w:type="dxa"/>
              <w:end w:w="72" w:type="dxa"/>
            </w:tcMar>
            <w:vAlign w:val="center"/>
          </w:tcPr>
          <w:p>
            <w:pPr>
              <w:spacing w:before="0" w:after="0" w:line="240" w:lineRule="auto"/>
              <w:jc w:val="center"/>
            </w:pPr>
            <w:r/>
            <w:r>
              <w:rPr>
                <w:rFonts w:ascii="Aptos" w:hAnsi="Aptos"/>
                <w:b/>
                <w:i w:val="0"/>
                <w:color w:val="FFFFFF"/>
                <w:sz w:val="15"/>
              </w:rPr>
              <w:t>Next Update</w:t>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r>
        <w:trPr>
          <w:trHeight w:val="634" w:hRule="atLeast"/>
          <w:cantSplit/>
        </w:trPr>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2015"/>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5256"/>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800"/>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c>
          <w:tcPr>
            <w:tcW w:type="dxa" w:w="1728"/>
            <w:shd w:fill="F6F8F9" w:val="clear"/>
            <w:tcMar>
              <w:top w:w="88" w:type="dxa"/>
              <w:start w:w="90" w:type="dxa"/>
              <w:bottom w:w="88" w:type="dxa"/>
              <w:end w:w="90" w:type="dxa"/>
            </w:tcMar>
            <w:vAlign w:val="center"/>
          </w:tcPr>
          <w:p>
            <w:pPr>
              <w:spacing w:before="0" w:after="0" w:line="240" w:lineRule="auto"/>
              <w:jc w:val="left"/>
            </w:pPr>
            <w:r/>
            <w:r>
              <w:rPr>
                <w:rFonts w:ascii="Aptos" w:hAnsi="Aptos"/>
                <w:b w:val="0"/>
                <w:i w:val="0"/>
                <w:color w:val="1F2B33"/>
                <w:sz w:val="15"/>
              </w:rPr>
            </w:r>
          </w:p>
        </w:tc>
      </w:tr>
    </w:tbl>
    <w:p>
      <w:pPr>
        <w:pStyle w:val="SmallHead"/>
        <w:keepNext/>
        <w:spacing w:before="20" w:after="40"/>
      </w:pPr>
      <w:r>
        <w:t>After-action communication review</w:t>
      </w:r>
    </w:p>
    <w:tbl>
      <w:tblPr>
        <w:tblW w:type="auto" w:w="0"/>
        <w:jc w:val="center"/>
        <w:tblLayout w:type="fixed"/>
        <w:tblLook w:firstColumn="1" w:firstRow="1" w:lastColumn="0" w:lastRow="0" w:noHBand="0" w:noVBand="1" w:val="04A0"/>
        <w:tblBorders>
          <w:top w:val="single" w:sz="4" w:space="0" w:color="D6E0E5"/>
          <w:left w:val="single" w:sz="4" w:space="0" w:color="D6E0E5"/>
          <w:bottom w:val="single" w:sz="4" w:space="0" w:color="D6E0E5"/>
          <w:right w:val="single" w:sz="4" w:space="0" w:color="D6E0E5"/>
          <w:insideH w:val="single" w:sz="4" w:space="0" w:color="D6E0E5"/>
          <w:insideV w:val="single" w:sz="4" w:space="0" w:color="D6E0E5"/>
        </w:tblBorders>
      </w:tblPr>
      <w:tblGrid>
        <w:gridCol w:w="2880"/>
        <w:gridCol w:w="2880"/>
        <w:gridCol w:w="2880"/>
        <w:gridCol w:w="2880"/>
        <w:gridCol w:w="2880"/>
      </w:tblGrid>
      <w:tr>
        <w:trPr>
          <w:cantSplit/>
        </w:trPr>
        <w:tc>
          <w:tcPr>
            <w:tcW w:type="dxa" w:w="2880"/>
            <w:shd w:fill="EAF1F4" w:val="clear"/>
            <w:tcMar>
              <w:top w:w="85" w:type="dxa"/>
              <w:start w:w="75" w:type="dxa"/>
              <w:bottom w:w="85" w:type="dxa"/>
              <w:end w:w="75" w:type="dxa"/>
            </w:tcMar>
            <w:vAlign w:val="center"/>
          </w:tcPr>
          <w:p>
            <w:pPr>
              <w:spacing w:before="0" w:after="0" w:line="240" w:lineRule="auto"/>
              <w:jc w:val="center"/>
            </w:pPr>
            <w:r/>
            <w:r>
              <w:rPr>
                <w:rFonts w:ascii="Aptos" w:hAnsi="Aptos"/>
                <w:b/>
                <w:i w:val="0"/>
                <w:color w:val="1F2B33"/>
                <w:sz w:val="14"/>
              </w:rPr>
              <w:t>☐ Did messages reach the intended audiences?</w:t>
            </w:r>
          </w:p>
        </w:tc>
        <w:tc>
          <w:tcPr>
            <w:tcW w:type="dxa" w:w="2880"/>
            <w:shd w:fill="EAF1F4" w:val="clear"/>
            <w:tcMar>
              <w:top w:w="85" w:type="dxa"/>
              <w:start w:w="75" w:type="dxa"/>
              <w:bottom w:w="85" w:type="dxa"/>
              <w:end w:w="75" w:type="dxa"/>
            </w:tcMar>
            <w:vAlign w:val="center"/>
          </w:tcPr>
          <w:p>
            <w:pPr>
              <w:spacing w:before="0" w:after="0" w:line="240" w:lineRule="auto"/>
              <w:jc w:val="center"/>
            </w:pPr>
            <w:r/>
            <w:r>
              <w:rPr>
                <w:rFonts w:ascii="Aptos" w:hAnsi="Aptos"/>
                <w:b/>
                <w:i w:val="0"/>
                <w:color w:val="1F2B33"/>
                <w:sz w:val="14"/>
              </w:rPr>
              <w:t>☐ Did the backup channels work?</w:t>
            </w:r>
          </w:p>
        </w:tc>
        <w:tc>
          <w:tcPr>
            <w:tcW w:type="dxa" w:w="2880"/>
            <w:shd w:fill="EAF1F4" w:val="clear"/>
            <w:tcMar>
              <w:top w:w="85" w:type="dxa"/>
              <w:start w:w="75" w:type="dxa"/>
              <w:bottom w:w="85" w:type="dxa"/>
              <w:end w:w="75" w:type="dxa"/>
            </w:tcMar>
            <w:vAlign w:val="center"/>
          </w:tcPr>
          <w:p>
            <w:pPr>
              <w:spacing w:before="0" w:after="0" w:line="240" w:lineRule="auto"/>
              <w:jc w:val="center"/>
            </w:pPr>
            <w:r/>
            <w:r>
              <w:rPr>
                <w:rFonts w:ascii="Aptos" w:hAnsi="Aptos"/>
                <w:b/>
                <w:i w:val="0"/>
                <w:color w:val="1F2B33"/>
                <w:sz w:val="14"/>
              </w:rPr>
              <w:t>☐ Were updates timely and predictable?</w:t>
            </w:r>
          </w:p>
        </w:tc>
        <w:tc>
          <w:tcPr>
            <w:tcW w:type="dxa" w:w="2880"/>
            <w:shd w:fill="EAF1F4" w:val="clear"/>
            <w:tcMar>
              <w:top w:w="85" w:type="dxa"/>
              <w:start w:w="75" w:type="dxa"/>
              <w:bottom w:w="85" w:type="dxa"/>
              <w:end w:w="75" w:type="dxa"/>
            </w:tcMar>
            <w:vAlign w:val="center"/>
          </w:tcPr>
          <w:p>
            <w:pPr>
              <w:spacing w:before="0" w:after="0" w:line="240" w:lineRule="auto"/>
              <w:jc w:val="center"/>
            </w:pPr>
            <w:r/>
            <w:r>
              <w:rPr>
                <w:rFonts w:ascii="Aptos" w:hAnsi="Aptos"/>
                <w:b/>
                <w:i w:val="0"/>
                <w:color w:val="1F2B33"/>
                <w:sz w:val="14"/>
              </w:rPr>
              <w:t>☐ Were messages verified, specific and clear?</w:t>
            </w:r>
          </w:p>
        </w:tc>
        <w:tc>
          <w:tcPr>
            <w:tcW w:type="dxa" w:w="2880"/>
            <w:shd w:fill="EAF1F4" w:val="clear"/>
            <w:tcMar>
              <w:top w:w="85" w:type="dxa"/>
              <w:start w:w="75" w:type="dxa"/>
              <w:bottom w:w="85" w:type="dxa"/>
              <w:end w:w="75" w:type="dxa"/>
            </w:tcMar>
            <w:vAlign w:val="center"/>
          </w:tcPr>
          <w:p>
            <w:pPr>
              <w:spacing w:before="0" w:after="0" w:line="240" w:lineRule="auto"/>
              <w:jc w:val="center"/>
            </w:pPr>
            <w:r/>
            <w:r>
              <w:rPr>
                <w:rFonts w:ascii="Aptos" w:hAnsi="Aptos"/>
                <w:b/>
                <w:i w:val="0"/>
                <w:color w:val="1F2B33"/>
                <w:sz w:val="14"/>
              </w:rPr>
              <w:t>☐ What must be updated before the next event?</w:t>
            </w:r>
          </w:p>
        </w:tc>
      </w:tr>
    </w:tbl>
    <w:p>
      <w:pPr>
        <w:spacing w:before="0" w:after="20"/>
      </w:pPr>
      <w:r/>
    </w:p>
    <w:tbl>
      <w:tblPr>
        <w:tblW w:type="auto" w:w="0"/>
        <w:jc w:val="center"/>
        <w:tblLayout w:type="fixed"/>
        <w:tblLook w:firstColumn="1" w:firstRow="1" w:lastColumn="0" w:lastRow="0" w:noHBand="0" w:noVBand="1" w:val="04A0"/>
        <w:tblBorders>
          <w:top w:val="single" w:sz="4" w:space="0" w:color="D3E0E6"/>
          <w:left w:val="single" w:sz="4" w:space="0" w:color="D3E0E6"/>
          <w:bottom w:val="single" w:sz="4" w:space="0" w:color="D3E0E6"/>
          <w:right w:val="single" w:sz="4" w:space="0" w:color="D3E0E6"/>
          <w:insideH w:val="single" w:sz="4" w:space="0" w:color="D3E0E6"/>
          <w:insideV w:val="single" w:sz="4" w:space="0" w:color="D3E0E6"/>
        </w:tblBorders>
      </w:tblPr>
      <w:tblGrid>
        <w:gridCol w:w="14400"/>
      </w:tblGrid>
      <w:tr>
        <w:tc>
          <w:tcPr>
            <w:tcW w:type="dxa" w:w="14400"/>
            <w:shd w:fill="F3E7C4" w:val="clear"/>
            <w:tcMar>
              <w:top w:w="100" w:type="dxa"/>
              <w:start w:w="115" w:type="dxa"/>
              <w:bottom w:w="100" w:type="dxa"/>
              <w:end w:w="115" w:type="dxa"/>
            </w:tcMar>
            <w:vAlign w:val="center"/>
          </w:tcPr>
          <w:p>
            <w:pPr>
              <w:spacing w:before="0" w:after="40" w:line="240" w:lineRule="auto"/>
            </w:pPr>
            <w:r/>
            <w:r>
              <w:rPr>
                <w:rFonts w:ascii="Aptos" w:hAnsi="Aptos"/>
                <w:b/>
                <w:i w:val="0"/>
                <w:color w:val="183B56"/>
                <w:sz w:val="17"/>
              </w:rPr>
              <w:t>What to do next</w:t>
            </w:r>
          </w:p>
          <w:p>
            <w:pPr>
              <w:spacing w:before="0" w:after="0" w:line="240" w:lineRule="auto"/>
            </w:pPr>
            <w:r>
              <w:rPr>
                <w:rFonts w:ascii="Aptos" w:hAnsi="Aptos"/>
                <w:b w:val="0"/>
                <w:i w:val="0"/>
                <w:color w:val="1F2B33"/>
                <w:sz w:val="16"/>
              </w:rPr>
              <w:t>Transfer the completed stakeholder matrix, spokesperson and approval arrangements, communication cadence and trusted sources into your Business Continuity Plan. Keep the message templates and Communication Log accessible during disruption. Test the primary and backup channels, keep contact information current and review the pack after every exercise or continuity event.</w:t>
            </w:r>
          </w:p>
        </w:tc>
      </w:tr>
    </w:tbl>
    <w:p>
      <w:r>
        <w:br w:type="page"/>
      </w:r>
    </w:p>
    <w:p>
      <w:pPr>
        <w:spacing w:before="0" w:after="40"/>
      </w:pPr>
      <w:r>
        <w:rPr>
          <w:rFonts w:ascii="Arial" w:hAnsi="Arial" w:eastAsia="Arial"/>
          <w:b/>
          <w:i w:val="0"/>
          <w:color w:val="0893B5"/>
          <w:sz w:val="16"/>
        </w:rPr>
        <w:t>BUSINESS RESILIENCE STARTER KIT</w:t>
      </w:r>
    </w:p>
    <w:p>
      <w:pPr>
        <w:spacing w:before="0" w:after="80"/>
      </w:pPr>
      <w:r>
        <w:rPr>
          <w:rFonts w:ascii="Arial" w:hAnsi="Arial" w:eastAsia="Arial"/>
          <w:b/>
          <w:i w:val="0"/>
          <w:color w:val="08304A"/>
          <w:sz w:val="36"/>
        </w:rPr>
        <w:t>Use and Reproduction Notice</w:t>
      </w:r>
    </w:p>
    <w:p>
      <w:pPr>
        <w:spacing w:before="0" w:after="240"/>
      </w:pPr>
      <w:r>
        <w:rPr>
          <w:rFonts w:ascii="Arial" w:hAnsi="Arial" w:eastAsia="Arial"/>
          <w:b/>
          <w:i w:val="0"/>
          <w:color w:val="687682"/>
          <w:sz w:val="16"/>
        </w:rPr>
        <w:t>Version 1.0 | September 2026</w:t>
      </w:r>
    </w:p>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60" w:type="dxa"/>
              <w:start w:w="180" w:type="dxa"/>
              <w:bottom w:w="160" w:type="dxa"/>
              <w:end w:w="180" w:type="dxa"/>
            </w:tcMar>
            <w:shd w:fill="EAF4F7"/>
          </w:tcPr>
          <w:p>
            <w:pPr>
              <w:spacing w:before="0" w:after="160" w:line="252" w:lineRule="auto"/>
            </w:pPr>
            <w:r>
              <w:rPr>
                <w:rFonts w:ascii="Arial" w:hAnsi="Arial" w:eastAsia="Arial"/>
                <w:b w:val="0"/>
                <w:i w:val="0"/>
                <w:color w:val="08304A"/>
                <w:sz w:val="19"/>
              </w:rPr>
              <w:t>This tool has been developed by the Disaster Risk Management Authority (DRM Authority) of The Bahamas as part of its Business Resilience Programme and is provided to support practical business continuity and resilience planning.</w:t>
            </w:r>
          </w:p>
          <w:p>
            <w:pPr>
              <w:spacing w:before="0" w:after="160" w:line="252" w:lineRule="auto"/>
            </w:pPr>
            <w:r>
              <w:rPr>
                <w:rFonts w:ascii="Arial" w:hAnsi="Arial" w:eastAsia="Arial"/>
                <w:b w:val="0"/>
                <w:i w:val="0"/>
                <w:color w:val="08304A"/>
                <w:sz w:val="19"/>
              </w:rPr>
              <w:t>Businesses and organizations may reproduce and adapt this tool for their own internal business continuity and resilience planning, provided that attribution to the DRM Authority and any applicable third-party acknowledgements are retained.</w:t>
            </w:r>
          </w:p>
          <w:p>
            <w:pPr>
              <w:spacing w:before="0" w:after="160" w:line="252" w:lineRule="auto"/>
            </w:pPr>
            <w:r>
              <w:rPr>
                <w:rFonts w:ascii="Arial" w:hAnsi="Arial" w:eastAsia="Arial"/>
                <w:b w:val="0"/>
                <w:i w:val="0"/>
                <w:color w:val="08304A"/>
                <w:sz w:val="19"/>
              </w:rPr>
              <w:t>This tool, its templates, or any substantial portion of them may not be sold, rebranded, republished, incorporated into a commercial product, or used to deliver paid training, facilitation, consultancy or other commercial services without the prior written permission of the DRM Authority.</w:t>
            </w:r>
          </w:p>
          <w:p>
            <w:pPr>
              <w:spacing w:before="0" w:after="160" w:line="252" w:lineRule="auto"/>
            </w:pPr>
            <w:r>
              <w:rPr>
                <w:rFonts w:ascii="Arial" w:hAnsi="Arial" w:eastAsia="Arial"/>
                <w:b w:val="0"/>
                <w:i w:val="0"/>
                <w:color w:val="08304A"/>
                <w:sz w:val="19"/>
              </w:rPr>
              <w:t>Use of this material does not imply endorsement, accreditation or certification by the DRM Authority. Third-party material, where identified, remains subject to the rights and terms of its respective owner.</w:t>
            </w:r>
          </w:p>
        </w:tc>
      </w:tr>
    </w:tbl>
    <w:tbl>
      <w:tblPr>
        <w:tblW w:type="dxa" w:w="13104"/>
        <w:jc w:val="center"/>
        <w:tblLayout w:type="fixed"/>
        <w:tblLook w:firstColumn="1" w:firstRow="1" w:lastColumn="0" w:lastRow="0" w:noHBand="0" w:noVBand="1" w:val="04A0"/>
        <w:tblBorders>
          <w:top w:val="nil"/>
          <w:left w:val="nil"/>
          <w:bottom w:val="nil"/>
          <w:right w:val="nil"/>
          <w:insideH w:val="nil"/>
          <w:insideV w:val="nil"/>
        </w:tblBorders>
      </w:tblPr>
      <w:tblGrid>
        <w:gridCol w:w="14400"/>
      </w:tblGrid>
      <w:tr>
        <w:tc>
          <w:tcPr>
            <w:tcW w:type="dxa" w:w="13104"/>
            <w:tcMar>
              <w:top w:w="100" w:type="dxa"/>
              <w:start w:w="160" w:type="dxa"/>
              <w:bottom w:w="100" w:type="dxa"/>
              <w:end w:w="160" w:type="dxa"/>
            </w:tcMar>
            <w:shd w:fill="F8EAB8"/>
          </w:tcPr>
          <w:p>
            <w:pPr>
              <w:spacing w:before="0" w:after="0"/>
              <w:jc w:val="center"/>
            </w:pPr>
            <w:r>
              <w:rPr>
                <w:rFonts w:ascii="Arial" w:hAnsi="Arial" w:eastAsia="Arial"/>
                <w:b/>
                <w:i w:val="0"/>
                <w:color w:val="08304A"/>
                <w:sz w:val="19"/>
              </w:rPr>
              <w:t>Internal adaptation is permitted. Commercial reuse requires prior written permission.</w:t>
            </w:r>
          </w:p>
        </w:tc>
      </w:tr>
    </w:tbl>
    <w:sectPr w:rsidR="00FC693F" w:rsidRPr="0006063C" w:rsidSect="00034616">
      <w:footerReference w:type="default" r:id="rId9"/>
      <w:headerReference w:type="default" r:id="rId11"/>
      <w:headerReference w:type="first" r:id="rId12"/>
      <w:footerReference w:type="first" r:id="rId13"/>
      <w:pgSz w:w="15840" w:h="12240" w:orient="landscape"/>
      <w:pgMar w:top="648" w:right="720" w:bottom="648" w:left="720" w:header="43" w:footer="58"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4776"/>
          <w:gridCol w:w="4776"/>
          <w:gridCol w:w="4776"/>
        </w:tblGrid>
        <w:tr>
          <w:tc>
            <w:tcPr>
              <w:tcW w:type="dxa" w:w="5832"/>
              <w:tcMar>
                <w:top w:w="0" w:type="dxa"/>
                <w:start w:w="0" w:type="dxa"/>
                <w:bottom w:w="0" w:type="dxa"/>
                <w:end w:w="0" w:type="dxa"/>
              </w:tcMar>
              <w:vAlign w:val="center"/>
            </w:tcPr>
            <w:p>
              <w:pPr>
                <w:spacing w:before="0" w:after="0"/>
                <w:jc w:val="left"/>
              </w:pPr>
              <w:r>
                <w:rPr>
                  <w:rFonts w:ascii="Arial" w:hAnsi="Arial" w:eastAsia="Arial"/>
                  <w:b/>
                  <w:i w:val="0"/>
                  <w:color w:val="08304A"/>
                  <w:sz w:val="13"/>
                </w:rPr>
                <w:t>DRM Authority | Business Resilience Programme</w:t>
              </w:r>
            </w:p>
          </w:tc>
          <w:tc>
            <w:tcPr>
              <w:tcW w:type="dxa" w:w="3888"/>
              <w:tcMar>
                <w:top w:w="0" w:type="dxa"/>
                <w:start w:w="0" w:type="dxa"/>
                <w:bottom w:w="0" w:type="dxa"/>
                <w:end w:w="0" w:type="dxa"/>
              </w:tcMar>
              <w:vAlign w:val="center"/>
            </w:tcPr>
            <w:p>
              <w:pPr>
                <w:spacing w:before="0" w:after="0"/>
                <w:jc w:val="center"/>
              </w:pPr>
              <w:r>
                <w:rPr>
                  <w:rFonts w:ascii="Arial" w:hAnsi="Arial" w:eastAsia="Arial"/>
                  <w:b w:val="0"/>
                  <w:i w:val="0"/>
                  <w:color w:val="687682"/>
                  <w:sz w:val="13"/>
                </w:rPr>
                <w:t>Version 1.0 | September 2026</w:t>
              </w:r>
            </w:p>
          </w:tc>
          <w:tc>
            <w:tcPr>
              <w:tcW w:type="dxa" w:w="4608"/>
              <w:tcMar>
                <w:top w:w="0" w:type="dxa"/>
                <w:start w:w="0" w:type="dxa"/>
                <w:bottom w:w="0" w:type="dxa"/>
                <w:end w:w="0" w:type="dxa"/>
              </w:tcMar>
              <w:vAlign w:val="center"/>
            </w:tcPr>
            <w:p>
              <w:pPr>
                <w:spacing w:before="0" w:after="0"/>
                <w:jc w:val="right"/>
              </w:pPr>
              <w:r>
                <w:rPr>
                  <w:rFonts w:ascii="Arial" w:hAnsi="Arial" w:eastAsia="Arial"/>
                  <w:b w:val="0"/>
                  <w:i w:val="0"/>
                  <w:color w:val="08304A"/>
                  <w:sz w:val="13"/>
                </w:rPr>
                <w:t xml:space="preserve">Page </w:t>
              </w:r>
              <w:fldSimple w:instr="PAGE">
                <w:r>
                  <w:rPr>
                    <w:rFonts w:ascii="Arial" w:hAnsi="Arial"/>
                    <w:sz w:val="13"/>
                    <w:color w:val="08304A"/>
                  </w:rPr>
                  <w:t>1</w:t>
                </w:r>
              </w:fldSimple>
              <w:r>
                <w:rPr>
                  <w:rFonts w:ascii="Arial" w:hAnsi="Arial" w:eastAsia="Arial"/>
                  <w:b w:val="0"/>
                  <w:i w:val="0"/>
                  <w:color w:val="08304A"/>
                  <w:sz w:val="13"/>
                </w:rPr>
                <w:t xml:space="preserve"> of </w:t>
              </w:r>
              <w:fldSimple w:instr="NUMPAGES">
                <w:r>
                  <w:rPr>
                    <w:rFonts w:ascii="Arial" w:hAnsi="Arial"/>
                    <w:sz w:val="13"/>
                    <w:color w:val="08304A"/>
                  </w:rPr>
                  <w:t>1</w:t>
                </w:r>
              </w:fldSimple>
            </w:p>
          </w:tc>
        </w:tr>
        <w:tr>
          <w:tc>
            <w:tcPr>
              <w:tcW w:type="dxa" w:w="14328"/>
              <w:gridSpan w:val="3"/>
              <w:tcMar>
                <w:top w:w="0" w:type="dxa"/>
                <w:start w:w="0" w:type="dxa"/>
                <w:bottom w:w="0" w:type="dxa"/>
                <w:end w:w="0" w:type="dxa"/>
              </w:tcMar>
            </w:tcPr>
            <w:p>
              <w:pPr>
                <w:spacing w:before="0" w:after="0"/>
                <w:jc w:val="center"/>
              </w:pPr>
              <w:r>
                <w:rPr>
                  <w:rFonts w:ascii="Arial" w:hAnsi="Arial" w:eastAsia="Arial"/>
                  <w:b w:val="0"/>
                  <w:i w:val="0"/>
                  <w:color w:val="687682"/>
                  <w:sz w:val="12"/>
                </w:rPr>
                <w:t>For internal business continuity and resilience planning. Commercial use requires prior written permission.</w:t>
              </w:r>
            </w:p>
          </w:tc>
        </w:tr>
      </w:tbl>
    </w:sdtContent>
  </w:sdt>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tbl>
        <w:tblPr>
          <w:tblW w:type="dxa" w:w="14327"/>
          <w:jc w:val="center"/>
          <w:tblLayout w:type="fixed"/>
          <w:tblLook w:firstColumn="1" w:firstRow="1" w:lastColumn="0" w:lastRow="0" w:noHBand="0" w:noVBand="1" w:val="04A0"/>
          <w:tblBorders>
            <w:top w:val="nil"/>
            <w:left w:val="nil"/>
            <w:bottom w:val="nil"/>
            <w:right w:val="nil"/>
            <w:insideH w:val="nil"/>
            <w:insideV w:val="nil"/>
          </w:tblBorders>
        </w:tblPr>
        <w:tblGrid>
          <w:gridCol w:w="7164"/>
          <w:gridCol w:w="7164"/>
        </w:tblGrid>
        <w:tr>
          <w:tc>
            <w:tcPr>
              <w:tcW w:type="dxa" w:w="2951"/>
              <w:tcMar>
                <w:top w:w="0" w:type="dxa"/>
                <w:start w:w="0" w:type="dxa"/>
                <w:bottom w:w="0" w:type="dxa"/>
                <w:end w:w="40" w:type="dxa"/>
              </w:tcMar>
              <w:vAlign w:val="center"/>
            </w:tcPr>
            <w:p>
              <w:pPr>
                <w:spacing w:before="0" w:after="0"/>
                <w:jc w:val="left"/>
              </w:pPr>
              <w:r>
                <w:drawing>
                  <wp:inline xmlns:a="http://schemas.openxmlformats.org/drawingml/2006/main" xmlns:pic="http://schemas.openxmlformats.org/drawingml/2006/picture">
                    <wp:extent cx="1170432" cy="365760"/>
                    <wp:docPr id="1" name="Picture 1"/>
                    <wp:cNvGraphicFramePr>
                      <a:graphicFrameLocks noChangeAspect="1"/>
                    </wp:cNvGraphicFramePr>
                    <a:graphic>
                      <a:graphicData uri="http://schemas.openxmlformats.org/drawingml/2006/picture">
                        <pic:pic>
                          <pic:nvPicPr>
                            <pic:cNvPr id="0" name="A_DRMLogo-FULL.png"/>
                            <pic:cNvPicPr/>
                          </pic:nvPicPr>
                          <pic:blipFill>
                            <a:blip r:embed="rId1"/>
                            <a:stretch>
                              <a:fillRect/>
                            </a:stretch>
                          </pic:blipFill>
                          <pic:spPr>
                            <a:xfrm>
                              <a:off x="0" y="0"/>
                              <a:ext cx="1170432" cy="365760"/>
                            </a:xfrm>
                            <a:prstGeom prst="rect"/>
                          </pic:spPr>
                        </pic:pic>
                      </a:graphicData>
                    </a:graphic>
                  </wp:inline>
                </w:drawing>
              </w:r>
            </w:p>
          </w:tc>
          <w:tc>
            <w:tcPr>
              <w:tcW w:type="dxa" w:w="11376"/>
              <w:tcMar>
                <w:top w:w="0" w:type="dxa"/>
                <w:start w:w="40" w:type="dxa"/>
                <w:bottom w:w="0" w:type="dxa"/>
                <w:end w:w="0" w:type="dxa"/>
              </w:tcMar>
              <w:vAlign w:val="center"/>
            </w:tcPr>
            <w:p>
              <w:pPr>
                <w:spacing w:before="0" w:after="0"/>
                <w:jc w:val="right"/>
              </w:pPr>
              <w:r>
                <w:rPr>
                  <w:rFonts w:ascii="Arial" w:hAnsi="Arial" w:eastAsia="Arial"/>
                  <w:b/>
                  <w:i w:val="0"/>
                  <w:color w:val="08304A"/>
                  <w:sz w:val="15"/>
                </w:rPr>
                <w:t>Business Continuity Communications Pack</w:t>
              </w:r>
            </w:p>
          </w:tc>
        </w:tr>
      </w:tbl>
    </w:sdtContent>
  </w:sdt>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sdt>
    <w:sdtPr>
      <w:lock w:val="sdtContentLocked"/>
      <w:alias w:val="DRM Authority protected branding"/>
      <w:tag w:val="DRM_BRANDING_LOCK"/>
    </w:sdtPr>
    <w:sdtContent>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val="0"/>
      <w:spacing w:after="80" w:line="240"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olkitTitle">
    <w:name w:val="ToolkitTitle"/>
    <w:pPr>
      <w:keepLines w:val="0"/>
      <w:spacing w:after="80"/>
    </w:pPr>
    <w:rPr>
      <w:rFonts w:ascii="Aptos" w:hAnsi="Aptos"/>
      <w:b/>
      <w:color w:val="183B56"/>
      <w:sz w:val="44"/>
    </w:rPr>
  </w:style>
  <w:style w:type="paragraph" w:customStyle="1" w:styleId="ToolkitKicker">
    <w:name w:val="ToolkitKicker"/>
    <w:pPr>
      <w:keepLines w:val="0"/>
      <w:spacing w:after="80"/>
    </w:pPr>
    <w:rPr>
      <w:rFonts w:ascii="Aptos" w:hAnsi="Aptos"/>
      <w:b/>
      <w:color w:val="2B6F73"/>
      <w:sz w:val="16"/>
    </w:rPr>
  </w:style>
  <w:style w:type="paragraph" w:customStyle="1" w:styleId="ToolkitSub">
    <w:name w:val="ToolkitSub"/>
    <w:pPr>
      <w:keepLines w:val="0"/>
      <w:spacing w:after="80"/>
    </w:pPr>
    <w:rPr>
      <w:rFonts w:ascii="Aptos" w:hAnsi="Aptos"/>
      <w:b w:val="0"/>
      <w:color w:val="6B747A"/>
      <w:sz w:val="20"/>
    </w:rPr>
  </w:style>
  <w:style w:type="paragraph" w:customStyle="1" w:styleId="SectionHead">
    <w:name w:val="SectionHead"/>
    <w:pPr>
      <w:keepLines w:val="0"/>
      <w:spacing w:after="80"/>
    </w:pPr>
    <w:rPr>
      <w:rFonts w:ascii="Aptos" w:hAnsi="Aptos"/>
      <w:b/>
      <w:color w:val="183B56"/>
      <w:sz w:val="26"/>
    </w:rPr>
  </w:style>
  <w:style w:type="paragraph" w:customStyle="1" w:styleId="SmallHead">
    <w:name w:val="SmallHead"/>
    <w:pPr>
      <w:keepLines w:val="0"/>
      <w:spacing w:after="80"/>
    </w:pPr>
    <w:rPr>
      <w:rFonts w:ascii="Aptos" w:hAnsi="Aptos"/>
      <w:b/>
      <w:color w:val="2B6F73"/>
      <w:sz w:val="18"/>
    </w:rPr>
  </w:style>
  <w:style w:type="paragraph" w:customStyle="1" w:styleId="Tiny">
    <w:name w:val="Tiny"/>
    <w:pPr>
      <w:keepLines w:val="0"/>
      <w:spacing w:after="80"/>
    </w:pPr>
    <w:rPr>
      <w:rFonts w:ascii="Aptos" w:hAnsi="Aptos"/>
      <w:b w:val="0"/>
      <w:color w:val="6B747A"/>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Continuity Communications Pack</dc:title>
  <dc:subject>DRM Authority Business Resilience Starter Kit</dc:subject>
  <dc:creator>Disaster Risk Management Authority, The Bahamas</dc:creator>
  <cp:keywords>business resilience, business continuity, disaster risk management, The Bahamas</cp:keywords>
  <dc:description>Version 1.0 | September 2026</dc:description>
  <cp:lastModifiedBy/>
  <cp:revision>1</cp:revision>
  <dcterms:created xsi:type="dcterms:W3CDTF">2013-12-23T23:15:00Z</dcterms:created>
  <dcterms:modified xsi:type="dcterms:W3CDTF">2013-12-23T23:15:00Z</dcterms:modified>
  <cp:category/>
</cp:coreProperties>
</file>