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7200"/>
        <w:gridCol w:w="7200"/>
      </w:tblGrid>
      <w:tr>
        <w:tc>
          <w:tcPr>
            <w:tcW w:type="dxa" w:w="10296"/>
            <w:tcMar>
              <w:top w:w="0" w:type="dxa"/>
              <w:start w:w="0" w:type="dxa"/>
              <w:bottom w:w="0" w:type="dxa"/>
              <w:end w:w="80" w:type="dxa"/>
            </w:tcMar>
            <w:vAlign w:val="center"/>
          </w:tcPr>
          <w:p>
            <w:pPr>
              <w:pStyle w:val="ToolkitKicker"/>
              <w:keepNext/>
              <w:spacing w:before="0" w:after="20"/>
              <w:jc w:val="center"/>
            </w:pPr>
            <w:r>
              <w:t>BUSINESS RESILIENCE STARTER KIT</w:t>
            </w:r>
          </w:p>
          <w:p>
            <w:pPr>
              <w:pStyle w:val="ToolkitTitle"/>
              <w:keepNext/>
              <w:spacing w:before="0" w:after="40"/>
              <w:jc w:val="center"/>
            </w:pPr>
            <w:r>
              <w:t>Continuity Strategy Planner</w:t>
            </w:r>
          </w:p>
          <w:p>
            <w:pPr>
              <w:pStyle w:val="ToolkitSub"/>
              <w:keepNext/>
              <w:spacing w:before="0" w:after="0"/>
              <w:jc w:val="center"/>
            </w:pPr>
            <w:r>
              <w:t>Disaster Risk Management Authority | The Bahamas</w:t>
            </w:r>
          </w:p>
          <w:p>
            <w:pPr>
              <w:pStyle w:val="Tiny"/>
              <w:keepNext/>
              <w:spacing w:before="0" w:after="0"/>
              <w:jc w:val="center"/>
            </w:pPr>
            <w:r>
              <w:t>Derived from the DRM Authority Business Continuity Planning Workbook</w:t>
            </w:r>
          </w:p>
        </w:tc>
        <w:tc>
          <w:tcPr>
            <w:tcW w:type="dxa" w:w="4031"/>
            <w:tcMar>
              <w:top w:w="0" w:type="dxa"/>
              <w:start w:w="80" w:type="dxa"/>
              <w:bottom w:w="0" w:type="dxa"/>
              <w:end w:w="0" w:type="dxa"/>
            </w:tcMar>
            <w:vAlign w:val="center"/>
          </w:tcPr>
          <w:p>
            <w:pPr>
              <w:keepNext/>
              <w:spacing w:before="0" w:after="0"/>
              <w:jc w:val="right"/>
            </w:pPr>
            <w:r>
              <w:drawing>
                <wp:inline xmlns:a="http://schemas.openxmlformats.org/drawingml/2006/main" xmlns:pic="http://schemas.openxmlformats.org/drawingml/2006/picture">
                  <wp:extent cx="2148840" cy="671512"/>
                  <wp:docPr id="1" name="Picture 1"/>
                  <wp:cNvGraphicFramePr>
                    <a:graphicFrameLocks noChangeAspect="1"/>
                  </wp:cNvGraphicFramePr>
                  <a:graphic>
                    <a:graphicData uri="http://schemas.openxmlformats.org/drawingml/2006/picture">
                      <pic:pic>
                        <pic:nvPicPr>
                          <pic:cNvPr id="0" name="A_DRMLogo-FULL.png"/>
                          <pic:cNvPicPr/>
                        </pic:nvPicPr>
                        <pic:blipFill>
                          <a:blip r:embed="rId10"/>
                          <a:stretch>
                            <a:fillRect/>
                          </a:stretch>
                        </pic:blipFill>
                        <pic:spPr>
                          <a:xfrm>
                            <a:off x="0" y="0"/>
                            <a:ext cx="2148840" cy="671512"/>
                          </a:xfrm>
                          <a:prstGeom prst="rect"/>
                        </pic:spPr>
                      </pic:pic>
                    </a:graphicData>
                  </a:graphic>
                </wp:inline>
              </w:drawing>
            </w:r>
          </w:p>
        </w:tc>
      </w:tr>
    </w:tbl>
    <w:tbl>
      <w:tblPr>
        <w:tblW w:type="auto" w:w="0"/>
        <w:jc w:val="center"/>
        <w:tblLayout w:type="fixed"/>
        <w:tblLook w:firstColumn="1" w:firstRow="1" w:lastColumn="0" w:lastRow="0" w:noHBand="0" w:noVBand="1" w:val="04A0"/>
      </w:tblPr>
      <w:tblGrid>
        <w:gridCol w:w="14112"/>
      </w:tblGrid>
      <w:tr>
        <w:trPr>
          <w:cantSplit/>
        </w:trPr>
        <w:tc>
          <w:tcPr>
            <w:tcW w:type="dxa" w:w="14400"/>
            <w:shd w:fill="EAF1F4"/>
            <w:tcMar>
              <w:top w:w="120" w:type="dxa"/>
              <w:start w:w="150" w:type="dxa"/>
              <w:bottom w:w="120" w:type="dxa"/>
              <w:end w:w="150" w:type="dxa"/>
            </w:tcMar>
          </w:tcPr>
          <w:p>
            <w:pPr>
              <w:spacing w:after="20"/>
            </w:pPr>
            <w:r/>
            <w:r>
              <w:rPr>
                <w:rFonts w:ascii="Aptos" w:hAnsi="Aptos"/>
                <w:b/>
                <w:color w:val="183B56"/>
                <w:sz w:val="20"/>
              </w:rPr>
              <w:t>What this tool helps you do</w:t>
              <w:br/>
            </w:r>
            <w:r>
              <w:rPr>
                <w:rFonts w:ascii="Aptos" w:hAnsi="Aptos"/>
                <w:color w:val="23333D"/>
                <w:sz w:val="18"/>
              </w:rPr>
              <w:t>Turn priority vulnerabilities into practical continuity arrangements that can keep a critical activity operating, allow it to operate temporarily at a reduced level, restore it within the required timeframe, or provide an alternative until normal operations return.</w:t>
            </w:r>
          </w:p>
        </w:tc>
      </w:tr>
    </w:tbl>
    <w:p>
      <w:pPr>
        <w:spacing w:after="0"/>
      </w:pPr>
    </w:p>
    <w:tbl>
      <w:tblPr>
        <w:tblW w:type="auto" w:w="0"/>
        <w:jc w:val="center"/>
        <w:tblLayout w:type="fixed"/>
        <w:tblLook w:firstColumn="1" w:firstRow="1" w:lastColumn="0" w:lastRow="0" w:noHBand="0" w:noVBand="1" w:val="04A0"/>
      </w:tblPr>
      <w:tblGrid>
        <w:gridCol w:w="7200"/>
        <w:gridCol w:w="7200"/>
      </w:tblGrid>
      <w:tr>
        <w:trPr>
          <w:cantSplit/>
        </w:trPr>
        <w:tc>
          <w:tcPr>
            <w:tcW w:type="dxa" w:w="6984"/>
            <w:shd w:fill="F6F8F9"/>
            <w:vAlign w:val="center"/>
            <w:tcMar>
              <w:top w:w="80" w:type="dxa"/>
              <w:start w:w="90" w:type="dxa"/>
              <w:bottom w:w="80" w:type="dxa"/>
              <w:end w:w="90" w:type="dxa"/>
            </w:tcMar>
          </w:tcPr>
          <w:p>
            <w:pPr>
              <w:spacing w:after="0" w:line="240" w:lineRule="auto"/>
              <w:jc w:val="left"/>
            </w:pPr>
            <w:r/>
            <w:r>
              <w:rPr>
                <w:rFonts w:ascii="Aptos" w:hAnsi="Aptos"/>
                <w:b w:val="0"/>
                <w:color w:val="23333D"/>
                <w:sz w:val="17"/>
              </w:rPr>
              <w:t>Use this tool when...</w:t>
              <w:br/>
              <w:br/>
              <w:t>- you have identified critical functions and recovery priorities;</w:t>
              <w:br/>
              <w:t>- you know the main dependencies, vulnerabilities or single points of failure affecting those functions;</w:t>
              <w:br/>
              <w:t>- an existing backup or alternative is weak, untested or missing; or</w:t>
              <w:br/>
              <w:t>- you need to decide what should happen if normal operations are disrupted.</w:t>
            </w:r>
          </w:p>
        </w:tc>
        <w:tc>
          <w:tcPr>
            <w:tcW w:type="dxa" w:w="6984"/>
            <w:shd w:fill="F6F8F9"/>
            <w:vAlign w:val="center"/>
            <w:tcMar>
              <w:top w:w="80" w:type="dxa"/>
              <w:start w:w="90" w:type="dxa"/>
              <w:bottom w:w="80" w:type="dxa"/>
              <w:end w:w="90" w:type="dxa"/>
            </w:tcMar>
          </w:tcPr>
          <w:p>
            <w:pPr>
              <w:spacing w:after="0" w:line="240" w:lineRule="auto"/>
              <w:jc w:val="left"/>
            </w:pPr>
            <w:r/>
            <w:r>
              <w:rPr>
                <w:rFonts w:ascii="Aptos" w:hAnsi="Aptos"/>
                <w:b w:val="0"/>
                <w:color w:val="23333D"/>
                <w:sz w:val="17"/>
              </w:rPr>
              <w:t>How to use the tool</w:t>
              <w:br/>
              <w:br/>
              <w:t>1. Select the vulnerabilities that could most seriously interrupt a critical function.</w:t>
              <w:br/>
              <w:t>2. Identify a risk-reduction measure and a practical backup or alternative.</w:t>
              <w:br/>
              <w:t>3. Record what must be arranged before disruption occurs.</w:t>
              <w:br/>
              <w:t>4. Decide the minimum level of operations the business must preserve.</w:t>
              <w:br/>
              <w:t>5. Set clear activation triggers and decision authority.</w:t>
              <w:br/>
              <w:t>6. Confirm the priority strategies, owners and advance actions.</w:t>
            </w:r>
          </w:p>
        </w:tc>
      </w:tr>
    </w:tbl>
    <w:p/>
    <w:p>
      <w:pPr>
        <w:pStyle w:val="SectionHead"/>
      </w:pPr>
      <w:r>
        <w:t>Key concept</w:t>
      </w:r>
    </w:p>
    <w:tbl>
      <w:tblPr>
        <w:tblW w:type="auto" w:w="0"/>
        <w:jc w:val="center"/>
        <w:tblLayout w:type="fixed"/>
        <w:tblLook w:firstColumn="1" w:firstRow="1" w:lastColumn="0" w:lastRow="0" w:noHBand="0" w:noVBand="1" w:val="04A0"/>
      </w:tblPr>
      <w:tblGrid>
        <w:gridCol w:w="14112"/>
      </w:tblGrid>
      <w:tr>
        <w:trPr>
          <w:cantSplit/>
        </w:trPr>
        <w:tc>
          <w:tcPr>
            <w:tcW w:type="dxa" w:w="14400"/>
            <w:shd w:fill="F3E7C4"/>
            <w:tcMar>
              <w:top w:w="120" w:type="dxa"/>
              <w:start w:w="150" w:type="dxa"/>
              <w:bottom w:w="120" w:type="dxa"/>
              <w:end w:w="150" w:type="dxa"/>
            </w:tcMar>
          </w:tcPr>
          <w:p>
            <w:pPr>
              <w:spacing w:after="20"/>
            </w:pPr>
            <w:r/>
            <w:r>
              <w:rPr>
                <w:rFonts w:ascii="Aptos" w:hAnsi="Aptos"/>
                <w:b/>
                <w:color w:val="183B56"/>
                <w:sz w:val="20"/>
              </w:rPr>
              <w:t>Continuity Strategy</w:t>
              <w:br/>
            </w:r>
            <w:r>
              <w:rPr>
                <w:rFonts w:ascii="Aptos" w:hAnsi="Aptos"/>
                <w:color w:val="23333D"/>
                <w:sz w:val="18"/>
              </w:rPr>
              <w:t>A continuity strategy is the practical arrangement used to keep a critical activity operating, operate it temporarily at a reduced level, restore it within the required timeframe, or provide an alternative until normal operations return.</w:t>
            </w:r>
          </w:p>
        </w:tc>
      </w:tr>
    </w:tbl>
    <w:p>
      <w:pPr>
        <w:spacing w:after="0"/>
      </w:pPr>
    </w:p>
    <w:p>
      <w:pPr>
        <w:pStyle w:val="SectionHead"/>
      </w:pPr>
      <w:r>
        <w:t>Strategy areas to consider</w:t>
      </w:r>
    </w:p>
    <w:tbl>
      <w:tblPr>
        <w:tblW w:type="auto" w:w="0"/>
        <w:jc w:val="center"/>
        <w:tblLayout w:type="fixed"/>
        <w:tblLook w:firstColumn="1" w:firstRow="1" w:lastColumn="0" w:lastRow="0" w:noHBand="0" w:noVBand="1" w:val="04A0"/>
      </w:tblPr>
      <w:tblGrid>
        <w:gridCol w:w="4800"/>
        <w:gridCol w:w="4800"/>
        <w:gridCol w:w="4800"/>
      </w:tblGrid>
      <w:tr>
        <w:trPr>
          <w:cantSplit/>
        </w:trPr>
        <w:tc>
          <w:tcPr>
            <w:tcW w:type="dxa" w:w="4608"/>
            <w:shd w:fill="EAF1F4"/>
            <w:tcMar>
              <w:top w:w="100" w:type="dxa"/>
              <w:start w:w="110" w:type="dxa"/>
              <w:bottom w:w="100" w:type="dxa"/>
              <w:end w:w="110" w:type="dxa"/>
            </w:tcMar>
          </w:tcPr>
          <w:p>
            <w:pPr>
              <w:spacing w:after="0"/>
            </w:pPr>
            <w:r/>
            <w:r>
              <w:rPr>
                <w:rFonts w:ascii="Aptos" w:hAnsi="Aptos"/>
                <w:b/>
                <w:color w:val="2B6F73"/>
                <w:sz w:val="16"/>
              </w:rPr>
              <w:t>People</w:t>
              <w:br/>
            </w:r>
            <w:r>
              <w:rPr>
                <w:rFonts w:ascii="Aptos" w:hAnsi="Aptos"/>
                <w:color w:val="23333D"/>
                <w:sz w:val="15"/>
              </w:rPr>
              <w:t>Cross-training, documented procedures, alternate decision-makers, remote work, temporary reassignment, contractor support, flexible work, backup system access.</w:t>
            </w:r>
          </w:p>
        </w:tc>
        <w:tc>
          <w:tcPr>
            <w:tcW w:type="dxa" w:w="4608"/>
            <w:shd w:fill="EAF1F4"/>
            <w:tcMar>
              <w:top w:w="100" w:type="dxa"/>
              <w:start w:w="110" w:type="dxa"/>
              <w:bottom w:w="100" w:type="dxa"/>
              <w:end w:w="110" w:type="dxa"/>
            </w:tcMar>
          </w:tcPr>
          <w:p>
            <w:pPr>
              <w:spacing w:after="0"/>
            </w:pPr>
            <w:r/>
            <w:r>
              <w:rPr>
                <w:rFonts w:ascii="Aptos" w:hAnsi="Aptos"/>
                <w:b/>
                <w:color w:val="2B6F73"/>
                <w:sz w:val="16"/>
              </w:rPr>
              <w:t>Premises</w:t>
              <w:br/>
            </w:r>
            <w:r>
              <w:rPr>
                <w:rFonts w:ascii="Aptos" w:hAnsi="Aptos"/>
                <w:color w:val="23333D"/>
                <w:sz w:val="15"/>
              </w:rPr>
              <w:t>Remote work, another branch, temporary rented/shared space, partner premises, mobile operations, online service, reduced operations.</w:t>
            </w:r>
          </w:p>
        </w:tc>
        <w:tc>
          <w:tcPr>
            <w:tcW w:type="dxa" w:w="4608"/>
            <w:shd w:fill="EAF1F4"/>
            <w:tcMar>
              <w:top w:w="100" w:type="dxa"/>
              <w:start w:w="110" w:type="dxa"/>
              <w:bottom w:w="100" w:type="dxa"/>
              <w:end w:w="110" w:type="dxa"/>
            </w:tcMar>
          </w:tcPr>
          <w:p>
            <w:pPr>
              <w:spacing w:after="0"/>
            </w:pPr>
            <w:r/>
            <w:r>
              <w:rPr>
                <w:rFonts w:ascii="Aptos" w:hAnsi="Aptos"/>
                <w:b/>
                <w:color w:val="2B6F73"/>
                <w:sz w:val="16"/>
              </w:rPr>
              <w:t>Utilities</w:t>
              <w:br/>
            </w:r>
            <w:r>
              <w:rPr>
                <w:rFonts w:ascii="Aptos" w:hAnsi="Aptos"/>
                <w:color w:val="23333D"/>
                <w:sz w:val="15"/>
              </w:rPr>
              <w:t>Electricity, water, Internet, mobile service and payment systems: identify the backup, how long it can support the business and what improvement is needed.</w:t>
            </w:r>
          </w:p>
        </w:tc>
      </w:tr>
      <w:tr>
        <w:trPr>
          <w:cantSplit/>
        </w:trPr>
        <w:tc>
          <w:tcPr>
            <w:tcW w:type="dxa" w:w="4608"/>
            <w:shd w:fill="F6F8F9"/>
            <w:tcMar>
              <w:top w:w="100" w:type="dxa"/>
              <w:start w:w="110" w:type="dxa"/>
              <w:bottom w:w="100" w:type="dxa"/>
              <w:end w:w="110" w:type="dxa"/>
            </w:tcMar>
          </w:tcPr>
          <w:p>
            <w:pPr>
              <w:spacing w:after="0"/>
            </w:pPr>
            <w:r/>
            <w:r>
              <w:rPr>
                <w:rFonts w:ascii="Aptos" w:hAnsi="Aptos"/>
                <w:b/>
                <w:color w:val="2B6F73"/>
                <w:sz w:val="16"/>
              </w:rPr>
              <w:t>Technology &amp; Data</w:t>
              <w:br/>
            </w:r>
            <w:r>
              <w:rPr>
                <w:rFonts w:ascii="Aptos" w:hAnsi="Aptos"/>
                <w:color w:val="23333D"/>
                <w:sz w:val="15"/>
              </w:rPr>
              <w:t>Automatic backups, cloud or off-site copies, alternative devices, secondary Internet access, manual processes, documented restoration, authorized backup users.</w:t>
            </w:r>
          </w:p>
        </w:tc>
        <w:tc>
          <w:tcPr>
            <w:tcW w:type="dxa" w:w="4608"/>
            <w:shd w:fill="F6F8F9"/>
            <w:tcMar>
              <w:top w:w="100" w:type="dxa"/>
              <w:start w:w="110" w:type="dxa"/>
              <w:bottom w:w="100" w:type="dxa"/>
              <w:end w:w="110" w:type="dxa"/>
            </w:tcMar>
          </w:tcPr>
          <w:p>
            <w:pPr>
              <w:spacing w:after="0"/>
            </w:pPr>
            <w:r/>
            <w:r>
              <w:rPr>
                <w:rFonts w:ascii="Aptos" w:hAnsi="Aptos"/>
                <w:b/>
                <w:color w:val="2B6F73"/>
                <w:sz w:val="16"/>
              </w:rPr>
              <w:t>Suppliers</w:t>
              <w:br/>
            </w:r>
            <w:r>
              <w:rPr>
                <w:rFonts w:ascii="Aptos" w:hAnsi="Aptos"/>
                <w:color w:val="23333D"/>
                <w:sz w:val="15"/>
              </w:rPr>
              <w:t>Identify alternatives, how quickly the business could switch, and whether the alternative is vulnerable to the same disruption as the primary supplier.</w:t>
            </w:r>
          </w:p>
        </w:tc>
        <w:tc>
          <w:tcPr>
            <w:tcW w:type="dxa" w:w="4608"/>
            <w:shd w:fill="F6F8F9"/>
            <w:tcMar>
              <w:top w:w="100" w:type="dxa"/>
              <w:start w:w="110" w:type="dxa"/>
              <w:bottom w:w="100" w:type="dxa"/>
              <w:end w:w="110" w:type="dxa"/>
            </w:tcMar>
          </w:tcPr>
          <w:p>
            <w:pPr>
              <w:spacing w:after="0"/>
            </w:pPr>
            <w:r/>
            <w:r>
              <w:rPr>
                <w:rFonts w:ascii="Aptos" w:hAnsi="Aptos"/>
                <w:b/>
                <w:color w:val="2B6F73"/>
                <w:sz w:val="16"/>
              </w:rPr>
              <w:t>Financial Continuity</w:t>
              <w:br/>
            </w:r>
            <w:r>
              <w:rPr>
                <w:rFonts w:ascii="Aptos" w:hAnsi="Aptos"/>
                <w:color w:val="23333D"/>
                <w:sz w:val="15"/>
              </w:rPr>
              <w:t>Consider payroll, supplier payments, emergency purchases, banking access, insurance claims, cash/liquidity and financial records.</w:t>
            </w:r>
          </w:p>
        </w:tc>
      </w:tr>
    </w:tbl>
    <w:p>
      <w:r>
        <w:br w:type="page"/>
      </w:r>
    </w:p>
    <w:p>
      <w:pPr>
        <w:pStyle w:val="SectionHead"/>
      </w:pPr>
      <w:r>
        <w:t>1. Continuity Strategy Planner</w:t>
      </w:r>
    </w:p>
    <w:p>
      <w:pPr>
        <w:spacing w:after="120"/>
      </w:pPr>
      <w:r>
        <w:t>Start with the priority vulnerabilities identified in your dependency and vulnerability analysis. For each one, identify a practical way to reduce the risk, a backup or alternative, and what must be put in place before a disruption occurs.</w:t>
      </w:r>
    </w:p>
    <w:tbl>
      <w:tblPr>
        <w:tblW w:type="auto" w:w="0"/>
        <w:jc w:val="center"/>
        <w:tblLayout w:type="fixed"/>
        <w:tblLook w:firstColumn="1" w:firstRow="1" w:lastColumn="0" w:lastRow="0" w:noHBand="0" w:noVBand="1" w:val="04A0"/>
        <w:tblBorders>
          <w:top w:val="single" w:sz="6" w:space="0" w:color="CCD7DC"/>
          <w:left w:val="single" w:sz="6" w:space="0" w:color="CCD7DC"/>
          <w:bottom w:val="single" w:sz="6" w:space="0" w:color="CCD7DC"/>
          <w:right w:val="single" w:sz="6" w:space="0" w:color="CCD7DC"/>
          <w:insideH w:val="single" w:sz="6" w:space="0" w:color="CCD7DC"/>
          <w:insideV w:val="single" w:sz="6" w:space="0" w:color="CCD7DC"/>
        </w:tblBorders>
      </w:tblPr>
      <w:tblGrid>
        <w:gridCol w:w="2880"/>
        <w:gridCol w:w="2880"/>
        <w:gridCol w:w="2880"/>
        <w:gridCol w:w="2880"/>
        <w:gridCol w:w="2880"/>
      </w:tblGrid>
      <w:tr>
        <w:trPr>
          <w:cantSplit/>
        </w:trPr>
        <w:tc>
          <w:tcPr>
            <w:tcW w:type="dxa" w:w="2664"/>
            <w:shd w:fill="183B56"/>
            <w:vAlign w:val="center"/>
            <w:tcMar>
              <w:top w:w="80" w:type="dxa"/>
              <w:start w:w="90" w:type="dxa"/>
              <w:bottom w:w="80" w:type="dxa"/>
              <w:end w:w="90" w:type="dxa"/>
            </w:tcMar>
          </w:tcPr>
          <w:p>
            <w:pPr>
              <w:spacing w:after="0" w:line="240" w:lineRule="auto"/>
              <w:jc w:val="center"/>
            </w:pPr>
            <w:r/>
            <w:r>
              <w:rPr>
                <w:rFonts w:ascii="Aptos" w:hAnsi="Aptos"/>
                <w:b/>
                <w:color w:val="FFFFFF"/>
                <w:sz w:val="14"/>
              </w:rPr>
              <w:t>Priority Vulnerability</w:t>
            </w:r>
          </w:p>
        </w:tc>
        <w:tc>
          <w:tcPr>
            <w:tcW w:type="dxa" w:w="2592"/>
            <w:shd w:fill="183B56"/>
            <w:vAlign w:val="center"/>
            <w:tcMar>
              <w:top w:w="80" w:type="dxa"/>
              <w:start w:w="90" w:type="dxa"/>
              <w:bottom w:w="80" w:type="dxa"/>
              <w:end w:w="90" w:type="dxa"/>
            </w:tcMar>
          </w:tcPr>
          <w:p>
            <w:pPr>
              <w:spacing w:after="0" w:line="240" w:lineRule="auto"/>
              <w:jc w:val="center"/>
            </w:pPr>
            <w:r/>
            <w:r>
              <w:rPr>
                <w:rFonts w:ascii="Aptos" w:hAnsi="Aptos"/>
                <w:b/>
                <w:color w:val="FFFFFF"/>
                <w:sz w:val="14"/>
              </w:rPr>
              <w:t>Critical Function Affected</w:t>
            </w:r>
          </w:p>
        </w:tc>
        <w:tc>
          <w:tcPr>
            <w:tcW w:type="dxa" w:w="2880"/>
            <w:shd w:fill="183B56"/>
            <w:vAlign w:val="center"/>
            <w:tcMar>
              <w:top w:w="80" w:type="dxa"/>
              <w:start w:w="90" w:type="dxa"/>
              <w:bottom w:w="80" w:type="dxa"/>
              <w:end w:w="90" w:type="dxa"/>
            </w:tcMar>
          </w:tcPr>
          <w:p>
            <w:pPr>
              <w:spacing w:after="0" w:line="240" w:lineRule="auto"/>
              <w:jc w:val="center"/>
            </w:pPr>
            <w:r/>
            <w:r>
              <w:rPr>
                <w:rFonts w:ascii="Aptos" w:hAnsi="Aptos"/>
                <w:b/>
                <w:color w:val="FFFFFF"/>
                <w:sz w:val="14"/>
              </w:rPr>
              <w:t>Risk-Reduction Measure</w:t>
            </w:r>
          </w:p>
        </w:tc>
        <w:tc>
          <w:tcPr>
            <w:tcW w:type="dxa" w:w="3384"/>
            <w:shd w:fill="183B56"/>
            <w:vAlign w:val="center"/>
            <w:tcMar>
              <w:top w:w="80" w:type="dxa"/>
              <w:start w:w="90" w:type="dxa"/>
              <w:bottom w:w="80" w:type="dxa"/>
              <w:end w:w="90" w:type="dxa"/>
            </w:tcMar>
          </w:tcPr>
          <w:p>
            <w:pPr>
              <w:spacing w:after="0" w:line="240" w:lineRule="auto"/>
              <w:jc w:val="center"/>
            </w:pPr>
            <w:r/>
            <w:r>
              <w:rPr>
                <w:rFonts w:ascii="Aptos" w:hAnsi="Aptos"/>
                <w:b/>
                <w:color w:val="FFFFFF"/>
                <w:sz w:val="14"/>
              </w:rPr>
              <w:t>Backup / Alternative</w:t>
            </w:r>
          </w:p>
        </w:tc>
        <w:tc>
          <w:tcPr>
            <w:tcW w:type="dxa" w:w="2520"/>
            <w:shd w:fill="183B56"/>
            <w:vAlign w:val="center"/>
            <w:tcMar>
              <w:top w:w="80" w:type="dxa"/>
              <w:start w:w="90" w:type="dxa"/>
              <w:bottom w:w="80" w:type="dxa"/>
              <w:end w:w="90" w:type="dxa"/>
            </w:tcMar>
          </w:tcPr>
          <w:p>
            <w:pPr>
              <w:spacing w:after="0" w:line="240" w:lineRule="auto"/>
              <w:jc w:val="center"/>
            </w:pPr>
            <w:r/>
            <w:r>
              <w:rPr>
                <w:rFonts w:ascii="Aptos" w:hAnsi="Aptos"/>
                <w:b/>
                <w:color w:val="FFFFFF"/>
                <w:sz w:val="14"/>
              </w:rPr>
              <w:t>What Must Be Arranged in Advance?</w:t>
            </w:r>
          </w:p>
        </w:tc>
      </w:tr>
      <w:tr>
        <w:trPr>
          <w:cantSplit/>
        </w:trPr>
        <w:tc>
          <w:tcPr>
            <w:tcW w:type="dxa" w:w="2664"/>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259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288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3384"/>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252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r>
      <w:tr>
        <w:trPr>
          <w:cantSplit/>
        </w:trPr>
        <w:tc>
          <w:tcPr>
            <w:tcW w:type="dxa" w:w="2664"/>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259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288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3384"/>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252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r>
      <w:tr>
        <w:trPr>
          <w:cantSplit/>
        </w:trPr>
        <w:tc>
          <w:tcPr>
            <w:tcW w:type="dxa" w:w="2664"/>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259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288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3384"/>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252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r>
      <w:tr>
        <w:trPr>
          <w:cantSplit/>
        </w:trPr>
        <w:tc>
          <w:tcPr>
            <w:tcW w:type="dxa" w:w="2664"/>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259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288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3384"/>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252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r>
    </w:tbl>
    <w:p/>
    <w:p>
      <w:pPr>
        <w:pStyle w:val="SectionHead"/>
      </w:pPr>
      <w:r>
        <w:t>Questions to test each proposed strategy</w:t>
      </w:r>
    </w:p>
    <w:tbl>
      <w:tblPr>
        <w:tblW w:type="auto" w:w="0"/>
        <w:jc w:val="center"/>
        <w:tblLayout w:type="fixed"/>
        <w:tblLook w:firstColumn="1" w:firstRow="1" w:lastColumn="0" w:lastRow="0" w:noHBand="0" w:noVBand="1" w:val="04A0"/>
      </w:tblPr>
      <w:tblGrid>
        <w:gridCol w:w="3600"/>
        <w:gridCol w:w="3600"/>
        <w:gridCol w:w="3600"/>
        <w:gridCol w:w="3600"/>
      </w:tblGrid>
      <w:tr>
        <w:trPr>
          <w:cantSplit/>
        </w:trPr>
        <w:tc>
          <w:tcPr>
            <w:tcW w:type="dxa" w:w="3456"/>
            <w:shd w:fill="F6F8F9"/>
            <w:tcMar>
              <w:top w:w="90" w:type="dxa"/>
              <w:start w:w="100" w:type="dxa"/>
              <w:bottom w:w="90" w:type="dxa"/>
              <w:end w:w="100" w:type="dxa"/>
            </w:tcMar>
          </w:tcPr>
          <w:p>
            <w:pPr>
              <w:spacing w:after="0"/>
            </w:pPr>
            <w:r/>
            <w:r>
              <w:rPr>
                <w:rFonts w:ascii="Aptos" w:hAnsi="Aptos"/>
                <w:b/>
                <w:color w:val="2B6F73"/>
                <w:sz w:val="16"/>
              </w:rPr>
              <w:t>Practical</w:t>
              <w:br/>
            </w:r>
            <w:r>
              <w:rPr>
                <w:rFonts w:ascii="Aptos" w:hAnsi="Aptos"/>
                <w:color w:val="23333D"/>
                <w:sz w:val="14"/>
              </w:rPr>
              <w:t>Can the business realistically use this arrangement during the disruption we are planning for?</w:t>
            </w:r>
          </w:p>
        </w:tc>
        <w:tc>
          <w:tcPr>
            <w:tcW w:type="dxa" w:w="3456"/>
            <w:shd w:fill="F6F8F9"/>
            <w:tcMar>
              <w:top w:w="90" w:type="dxa"/>
              <w:start w:w="100" w:type="dxa"/>
              <w:bottom w:w="90" w:type="dxa"/>
              <w:end w:w="100" w:type="dxa"/>
            </w:tcMar>
          </w:tcPr>
          <w:p>
            <w:pPr>
              <w:spacing w:after="0"/>
            </w:pPr>
            <w:r/>
            <w:r>
              <w:rPr>
                <w:rFonts w:ascii="Aptos" w:hAnsi="Aptos"/>
                <w:b/>
                <w:color w:val="2B6F73"/>
                <w:sz w:val="16"/>
              </w:rPr>
              <w:t>Timely</w:t>
              <w:br/>
            </w:r>
            <w:r>
              <w:rPr>
                <w:rFonts w:ascii="Aptos" w:hAnsi="Aptos"/>
                <w:color w:val="23333D"/>
                <w:sz w:val="14"/>
              </w:rPr>
              <w:t>Can it be activated quickly enough to support the Target Recovery Time for the critical function?</w:t>
            </w:r>
          </w:p>
        </w:tc>
        <w:tc>
          <w:tcPr>
            <w:tcW w:type="dxa" w:w="3456"/>
            <w:shd w:fill="F6F8F9"/>
            <w:tcMar>
              <w:top w:w="90" w:type="dxa"/>
              <w:start w:w="100" w:type="dxa"/>
              <w:bottom w:w="90" w:type="dxa"/>
              <w:end w:w="100" w:type="dxa"/>
            </w:tcMar>
          </w:tcPr>
          <w:p>
            <w:pPr>
              <w:spacing w:after="0"/>
            </w:pPr>
            <w:r/>
            <w:r>
              <w:rPr>
                <w:rFonts w:ascii="Aptos" w:hAnsi="Aptos"/>
                <w:b/>
                <w:color w:val="2B6F73"/>
                <w:sz w:val="16"/>
              </w:rPr>
              <w:t>Independent</w:t>
              <w:br/>
            </w:r>
            <w:r>
              <w:rPr>
                <w:rFonts w:ascii="Aptos" w:hAnsi="Aptos"/>
                <w:color w:val="23333D"/>
                <w:sz w:val="14"/>
              </w:rPr>
              <w:t>Could the same disruption disable both the primary arrangement and the backup?</w:t>
            </w:r>
          </w:p>
        </w:tc>
        <w:tc>
          <w:tcPr>
            <w:tcW w:type="dxa" w:w="3456"/>
            <w:shd w:fill="F6F8F9"/>
            <w:tcMar>
              <w:top w:w="90" w:type="dxa"/>
              <w:start w:w="100" w:type="dxa"/>
              <w:bottom w:w="90" w:type="dxa"/>
              <w:end w:w="100" w:type="dxa"/>
            </w:tcMar>
          </w:tcPr>
          <w:p>
            <w:pPr>
              <w:spacing w:after="0"/>
            </w:pPr>
            <w:r/>
            <w:r>
              <w:rPr>
                <w:rFonts w:ascii="Aptos" w:hAnsi="Aptos"/>
                <w:b/>
                <w:color w:val="2B6F73"/>
                <w:sz w:val="16"/>
              </w:rPr>
              <w:t>Accessible</w:t>
              <w:br/>
            </w:r>
            <w:r>
              <w:rPr>
                <w:rFonts w:ascii="Aptos" w:hAnsi="Aptos"/>
                <w:color w:val="23333D"/>
                <w:sz w:val="14"/>
              </w:rPr>
              <w:t>Can the right people access the systems, premises, funds, information or authority needed to use it?</w:t>
            </w:r>
          </w:p>
        </w:tc>
      </w:tr>
      <w:tr>
        <w:trPr>
          <w:cantSplit/>
        </w:trPr>
        <w:tc>
          <w:tcPr>
            <w:tcW w:type="dxa" w:w="3456"/>
            <w:shd w:fill="F6F8F9"/>
            <w:tcMar>
              <w:top w:w="90" w:type="dxa"/>
              <w:start w:w="100" w:type="dxa"/>
              <w:bottom w:w="90" w:type="dxa"/>
              <w:end w:w="100" w:type="dxa"/>
            </w:tcMar>
          </w:tcPr>
          <w:p>
            <w:pPr>
              <w:spacing w:after="0"/>
            </w:pPr>
            <w:r/>
            <w:r>
              <w:rPr>
                <w:rFonts w:ascii="Aptos" w:hAnsi="Aptos"/>
                <w:b/>
                <w:color w:val="2B6F73"/>
                <w:sz w:val="16"/>
              </w:rPr>
              <w:t>Sustainable</w:t>
              <w:br/>
            </w:r>
            <w:r>
              <w:rPr>
                <w:rFonts w:ascii="Aptos" w:hAnsi="Aptos"/>
                <w:color w:val="23333D"/>
                <w:sz w:val="14"/>
              </w:rPr>
              <w:t>How long can this arrangement support the business before another option is needed?</w:t>
            </w:r>
          </w:p>
        </w:tc>
        <w:tc>
          <w:tcPr>
            <w:tcW w:type="dxa" w:w="3456"/>
            <w:shd w:fill="F6F8F9"/>
            <w:tcMar>
              <w:top w:w="90" w:type="dxa"/>
              <w:start w:w="100" w:type="dxa"/>
              <w:bottom w:w="90" w:type="dxa"/>
              <w:end w:w="100" w:type="dxa"/>
            </w:tcMar>
          </w:tcPr>
          <w:p>
            <w:pPr>
              <w:spacing w:after="0"/>
            </w:pPr>
            <w:r/>
            <w:r>
              <w:rPr>
                <w:rFonts w:ascii="Aptos" w:hAnsi="Aptos"/>
                <w:b/>
                <w:color w:val="2B6F73"/>
                <w:sz w:val="16"/>
              </w:rPr>
              <w:t>Resourced</w:t>
              <w:br/>
            </w:r>
            <w:r>
              <w:rPr>
                <w:rFonts w:ascii="Aptos" w:hAnsi="Aptos"/>
                <w:color w:val="23333D"/>
                <w:sz w:val="14"/>
              </w:rPr>
              <w:t>What people, equipment, suppliers, money, contracts, access or approvals must be arranged in advance?</w:t>
            </w:r>
          </w:p>
        </w:tc>
        <w:tc>
          <w:tcPr>
            <w:tcW w:type="dxa" w:w="3456"/>
            <w:shd w:fill="F6F8F9"/>
            <w:tcMar>
              <w:top w:w="90" w:type="dxa"/>
              <w:start w:w="100" w:type="dxa"/>
              <w:bottom w:w="90" w:type="dxa"/>
              <w:end w:w="100" w:type="dxa"/>
            </w:tcMar>
          </w:tcPr>
          <w:p>
            <w:pPr>
              <w:spacing w:after="0"/>
            </w:pPr>
            <w:r/>
            <w:r>
              <w:rPr>
                <w:rFonts w:ascii="Aptos" w:hAnsi="Aptos"/>
                <w:b/>
                <w:color w:val="2B6F73"/>
                <w:sz w:val="16"/>
              </w:rPr>
              <w:t>Owned</w:t>
              <w:br/>
            </w:r>
            <w:r>
              <w:rPr>
                <w:rFonts w:ascii="Aptos" w:hAnsi="Aptos"/>
                <w:color w:val="23333D"/>
                <w:sz w:val="14"/>
              </w:rPr>
              <w:t>Who is responsible for putting the arrangement in place and keeping it current?</w:t>
            </w:r>
          </w:p>
        </w:tc>
        <w:tc>
          <w:tcPr>
            <w:tcW w:type="dxa" w:w="3456"/>
            <w:shd w:fill="F6F8F9"/>
            <w:tcMar>
              <w:top w:w="90" w:type="dxa"/>
              <w:start w:w="100" w:type="dxa"/>
              <w:bottom w:w="90" w:type="dxa"/>
              <w:end w:w="100" w:type="dxa"/>
            </w:tcMar>
          </w:tcPr>
          <w:p>
            <w:pPr>
              <w:spacing w:after="0"/>
            </w:pPr>
            <w:r/>
            <w:r>
              <w:rPr>
                <w:rFonts w:ascii="Aptos" w:hAnsi="Aptos"/>
                <w:b/>
                <w:color w:val="2B6F73"/>
                <w:sz w:val="16"/>
              </w:rPr>
              <w:t>Tested</w:t>
              <w:br/>
            </w:r>
            <w:r>
              <w:rPr>
                <w:rFonts w:ascii="Aptos" w:hAnsi="Aptos"/>
                <w:color w:val="23333D"/>
                <w:sz w:val="14"/>
              </w:rPr>
              <w:t>How will the business confirm that the strategy works before it is needed?</w:t>
            </w:r>
          </w:p>
        </w:tc>
      </w:tr>
    </w:tbl>
    <w:p>
      <w:r>
        <w:br w:type="page"/>
      </w:r>
    </w:p>
    <w:p>
      <w:pPr>
        <w:pStyle w:val="SectionHead"/>
      </w:pPr>
      <w:r>
        <w:t>2. Minimum Viable Operations</w:t>
      </w:r>
    </w:p>
    <w:p>
      <w:r>
        <w:t>Continuity does not always mean restoring the entire business immediately. Sometimes survival depends on operating at a reduced level. Identify the services that must continue and the minimum resources needed to sustain them.</w:t>
      </w:r>
    </w:p>
    <w:tbl>
      <w:tblPr>
        <w:tblW w:type="auto" w:w="0"/>
        <w:jc w:val="center"/>
        <w:tblLayout w:type="fixed"/>
        <w:tblLook w:firstColumn="1" w:firstRow="1" w:lastColumn="0" w:lastRow="0" w:noHBand="0" w:noVBand="1" w:val="04A0"/>
        <w:tblBorders>
          <w:top w:val="single" w:sz="6" w:space="0" w:color="CCD7DC"/>
          <w:left w:val="single" w:sz="6" w:space="0" w:color="CCD7DC"/>
          <w:bottom w:val="single" w:sz="6" w:space="0" w:color="CCD7DC"/>
          <w:right w:val="single" w:sz="6" w:space="0" w:color="CCD7DC"/>
          <w:insideH w:val="single" w:sz="6" w:space="0" w:color="CCD7DC"/>
          <w:insideV w:val="single" w:sz="6" w:space="0" w:color="CCD7DC"/>
        </w:tblBorders>
      </w:tblPr>
      <w:tblGrid>
        <w:gridCol w:w="4800"/>
        <w:gridCol w:w="4800"/>
        <w:gridCol w:w="4800"/>
      </w:tblGrid>
      <w:tr>
        <w:trPr>
          <w:cantSplit/>
        </w:trPr>
        <w:tc>
          <w:tcPr>
            <w:tcW w:type="dxa" w:w="4752"/>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Most Important Service / Function to Continue</w:t>
            </w:r>
          </w:p>
        </w:tc>
        <w:tc>
          <w:tcPr>
            <w:tcW w:type="dxa" w:w="4464"/>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Minimum Level We Need to Maintain</w:t>
            </w:r>
          </w:p>
        </w:tc>
        <w:tc>
          <w:tcPr>
            <w:tcW w:type="dxa" w:w="4752"/>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Minimum People / Resources / Arrangements Needed</w:t>
            </w:r>
          </w:p>
        </w:tc>
      </w:tr>
      <w:tr>
        <w:trPr>
          <w:cantSplit/>
        </w:trPr>
        <w:tc>
          <w:tcPr>
            <w:tcW w:type="dxa" w:w="4752"/>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4464"/>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4752"/>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r>
        <w:trPr>
          <w:cantSplit/>
        </w:trPr>
        <w:tc>
          <w:tcPr>
            <w:tcW w:type="dxa" w:w="4752"/>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4464"/>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4752"/>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r>
        <w:trPr>
          <w:cantSplit/>
        </w:trPr>
        <w:tc>
          <w:tcPr>
            <w:tcW w:type="dxa" w:w="4752"/>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4464"/>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4752"/>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bl>
    <w:p>
      <w:pPr>
        <w:spacing w:after="40"/>
      </w:pPr>
      <w:r>
        <w:rPr>
          <w:b/>
          <w:color w:val="2B6F73"/>
        </w:rPr>
        <w:t xml:space="preserve">Services or activities we could temporarily suspend: </w:t>
      </w:r>
      <w:r>
        <w:rPr>
          <w:color w:val="6B747A"/>
        </w:rPr>
        <w:t>__________________________________________________________________________________________</w:t>
      </w:r>
    </w:p>
    <w:p>
      <w:pPr>
        <w:pStyle w:val="SectionHead"/>
      </w:pPr>
      <w:r>
        <w:t>3. Strategy Activation Triggers</w:t>
      </w:r>
    </w:p>
    <w:p>
      <w:r>
        <w:t>A strategy should be activated when a defined condition occurs. Identify the condition or threshold that will signal when each priority strategy should be activated, and who has authority to make that decision.</w:t>
      </w:r>
    </w:p>
    <w:tbl>
      <w:tblPr>
        <w:tblW w:type="auto" w:w="0"/>
        <w:jc w:val="center"/>
        <w:tblLayout w:type="fixed"/>
        <w:tblLook w:firstColumn="1" w:firstRow="1" w:lastColumn="0" w:lastRow="0" w:noHBand="0" w:noVBand="1" w:val="04A0"/>
        <w:tblBorders>
          <w:top w:val="single" w:sz="6" w:space="0" w:color="CCD7DC"/>
          <w:left w:val="single" w:sz="6" w:space="0" w:color="CCD7DC"/>
          <w:bottom w:val="single" w:sz="6" w:space="0" w:color="CCD7DC"/>
          <w:right w:val="single" w:sz="6" w:space="0" w:color="CCD7DC"/>
          <w:insideH w:val="single" w:sz="6" w:space="0" w:color="CCD7DC"/>
          <w:insideV w:val="single" w:sz="6" w:space="0" w:color="CCD7DC"/>
        </w:tblBorders>
      </w:tblPr>
      <w:tblGrid>
        <w:gridCol w:w="4800"/>
        <w:gridCol w:w="4800"/>
        <w:gridCol w:w="4800"/>
      </w:tblGrid>
      <w:tr>
        <w:trPr>
          <w:cantSplit/>
        </w:trPr>
        <w:tc>
          <w:tcPr>
            <w:tcW w:type="dxa" w:w="4896"/>
            <w:shd w:fill="183B56"/>
            <w:vAlign w:val="center"/>
            <w:tcMar>
              <w:top w:w="80" w:type="dxa"/>
              <w:start w:w="90" w:type="dxa"/>
              <w:bottom w:w="80" w:type="dxa"/>
              <w:end w:w="90" w:type="dxa"/>
            </w:tcMar>
          </w:tcPr>
          <w:p>
            <w:pPr>
              <w:spacing w:after="0" w:line="240" w:lineRule="auto"/>
              <w:jc w:val="center"/>
            </w:pPr>
            <w:r/>
            <w:r>
              <w:rPr>
                <w:rFonts w:ascii="Aptos" w:hAnsi="Aptos"/>
                <w:b/>
                <w:color w:val="FFFFFF"/>
                <w:sz w:val="16"/>
              </w:rPr>
              <w:t>Strategy</w:t>
            </w:r>
          </w:p>
        </w:tc>
        <w:tc>
          <w:tcPr>
            <w:tcW w:type="dxa" w:w="5616"/>
            <w:shd w:fill="183B56"/>
            <w:vAlign w:val="center"/>
            <w:tcMar>
              <w:top w:w="80" w:type="dxa"/>
              <w:start w:w="90" w:type="dxa"/>
              <w:bottom w:w="80" w:type="dxa"/>
              <w:end w:w="90" w:type="dxa"/>
            </w:tcMar>
          </w:tcPr>
          <w:p>
            <w:pPr>
              <w:spacing w:after="0" w:line="240" w:lineRule="auto"/>
              <w:jc w:val="center"/>
            </w:pPr>
            <w:r/>
            <w:r>
              <w:rPr>
                <w:rFonts w:ascii="Aptos" w:hAnsi="Aptos"/>
                <w:b/>
                <w:color w:val="FFFFFF"/>
                <w:sz w:val="16"/>
              </w:rPr>
              <w:t>Trigger / Condition</w:t>
            </w:r>
          </w:p>
        </w:tc>
        <w:tc>
          <w:tcPr>
            <w:tcW w:type="dxa" w:w="3456"/>
            <w:shd w:fill="183B56"/>
            <w:vAlign w:val="center"/>
            <w:tcMar>
              <w:top w:w="80" w:type="dxa"/>
              <w:start w:w="90" w:type="dxa"/>
              <w:bottom w:w="80" w:type="dxa"/>
              <w:end w:w="90" w:type="dxa"/>
            </w:tcMar>
          </w:tcPr>
          <w:p>
            <w:pPr>
              <w:spacing w:after="0" w:line="240" w:lineRule="auto"/>
              <w:jc w:val="center"/>
            </w:pPr>
            <w:r/>
            <w:r>
              <w:rPr>
                <w:rFonts w:ascii="Aptos" w:hAnsi="Aptos"/>
                <w:b/>
                <w:color w:val="FFFFFF"/>
                <w:sz w:val="16"/>
              </w:rPr>
              <w:t>Who Makes the Decision?</w:t>
            </w:r>
          </w:p>
        </w:tc>
      </w:tr>
      <w:tr>
        <w:trPr>
          <w:cantSplit/>
        </w:trPr>
        <w:tc>
          <w:tcPr>
            <w:tcW w:type="dxa" w:w="489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561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345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r>
        <w:trPr>
          <w:cantSplit/>
        </w:trPr>
        <w:tc>
          <w:tcPr>
            <w:tcW w:type="dxa" w:w="489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561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345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r>
        <w:trPr>
          <w:cantSplit/>
        </w:trPr>
        <w:tc>
          <w:tcPr>
            <w:tcW w:type="dxa" w:w="489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561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345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r>
        <w:trPr>
          <w:cantSplit/>
        </w:trPr>
        <w:tc>
          <w:tcPr>
            <w:tcW w:type="dxa" w:w="489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561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345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bl>
    <w:tbl>
      <w:tblPr>
        <w:tblW w:type="auto" w:w="0"/>
        <w:jc w:val="center"/>
        <w:tblLayout w:type="fixed"/>
        <w:tblLook w:firstColumn="1" w:firstRow="1" w:lastColumn="0" w:lastRow="0" w:noHBand="0" w:noVBand="1" w:val="04A0"/>
      </w:tblPr>
      <w:tblGrid>
        <w:gridCol w:w="14112"/>
      </w:tblGrid>
      <w:tr>
        <w:trPr>
          <w:cantSplit/>
        </w:trPr>
        <w:tc>
          <w:tcPr>
            <w:tcW w:type="dxa" w:w="14400"/>
            <w:shd w:fill="EAF1F4"/>
            <w:tcMar>
              <w:top w:w="120" w:type="dxa"/>
              <w:start w:w="150" w:type="dxa"/>
              <w:bottom w:w="120" w:type="dxa"/>
              <w:end w:w="150" w:type="dxa"/>
            </w:tcMar>
          </w:tcPr>
          <w:p>
            <w:pPr>
              <w:spacing w:after="20"/>
            </w:pPr>
            <w:r/>
            <w:r>
              <w:rPr>
                <w:rFonts w:ascii="Aptos" w:hAnsi="Aptos"/>
                <w:b/>
                <w:color w:val="183B56"/>
                <w:sz w:val="20"/>
              </w:rPr>
              <w:t>Example trigger</w:t>
              <w:br/>
            </w:r>
            <w:r>
              <w:rPr>
                <w:rFonts w:ascii="Aptos" w:hAnsi="Aptos"/>
                <w:color w:val="23333D"/>
                <w:sz w:val="18"/>
              </w:rPr>
              <w:t>If the primary supplier cannot deliver within 48 hours, the trigger may be to contact the alternate supplier. The important point is to decide the threshold and authority before the business is under pressure.</w:t>
            </w:r>
          </w:p>
        </w:tc>
      </w:tr>
    </w:tbl>
    <w:p>
      <w:pPr>
        <w:spacing w:after="0"/>
      </w:pPr>
    </w:p>
    <w:p>
      <w:r>
        <w:br w:type="page"/>
      </w:r>
    </w:p>
    <w:p>
      <w:pPr>
        <w:pStyle w:val="SectionHead"/>
      </w:pPr>
      <w:r>
        <w:t>4. Priority Continuity Strategies</w:t>
      </w:r>
    </w:p>
    <w:p>
      <w:r>
        <w:t>Select the three strategies that matter most to protecting or restoring your critical functions. Confirm what each strategy addresses, what will be done, who owns it and what must be arranged before it is needed.</w:t>
      </w:r>
    </w:p>
    <w:tbl>
      <w:tblPr>
        <w:tblW w:type="auto" w:w="0"/>
        <w:jc w:val="center"/>
        <w:tblLayout w:type="fixed"/>
        <w:tblLook w:firstColumn="1" w:firstRow="1" w:lastColumn="0" w:lastRow="0" w:noHBand="0" w:noVBand="1" w:val="04A0"/>
        <w:tblBorders>
          <w:top w:val="single" w:sz="6" w:space="0" w:color="CCD7DC"/>
          <w:left w:val="single" w:sz="6" w:space="0" w:color="CCD7DC"/>
          <w:bottom w:val="single" w:sz="6" w:space="0" w:color="CCD7DC"/>
          <w:right w:val="single" w:sz="6" w:space="0" w:color="CCD7DC"/>
          <w:insideH w:val="single" w:sz="6" w:space="0" w:color="CCD7DC"/>
          <w:insideV w:val="single" w:sz="6" w:space="0" w:color="CCD7DC"/>
        </w:tblBorders>
      </w:tblPr>
      <w:tblGrid>
        <w:gridCol w:w="3600"/>
        <w:gridCol w:w="3600"/>
        <w:gridCol w:w="3600"/>
        <w:gridCol w:w="3600"/>
      </w:tblGrid>
      <w:tr>
        <w:trPr>
          <w:cantSplit/>
        </w:trPr>
        <w:tc>
          <w:tcPr>
            <w:tcW w:type="dxa" w:w="3384"/>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Priority Strategy 1</w:t>
            </w:r>
          </w:p>
        </w:tc>
        <w:tc>
          <w:tcPr>
            <w:tcW w:type="dxa" w:w="4896"/>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What Will We Do?</w:t>
            </w:r>
          </w:p>
        </w:tc>
        <w:tc>
          <w:tcPr>
            <w:tcW w:type="dxa" w:w="2376"/>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Owner</w:t>
            </w:r>
          </w:p>
        </w:tc>
        <w:tc>
          <w:tcPr>
            <w:tcW w:type="dxa" w:w="3312"/>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What Must Be Arranged?</w:t>
            </w:r>
          </w:p>
        </w:tc>
      </w:tr>
      <w:tr>
        <w:trPr>
          <w:cantSplit/>
        </w:trPr>
        <w:tc>
          <w:tcPr>
            <w:tcW w:type="dxa" w:w="3384"/>
            <w:vAlign w:val="center"/>
            <w:tcMar>
              <w:top w:w="80" w:type="dxa"/>
              <w:start w:w="90" w:type="dxa"/>
              <w:bottom w:w="80" w:type="dxa"/>
              <w:end w:w="90" w:type="dxa"/>
            </w:tcMar>
          </w:tcPr>
          <w:p>
            <w:pPr>
              <w:spacing w:after="0" w:line="240" w:lineRule="auto"/>
              <w:jc w:val="left"/>
            </w:pPr>
            <w:r/>
            <w:r>
              <w:rPr>
                <w:rFonts w:ascii="Aptos" w:hAnsi="Aptos"/>
                <w:b w:val="0"/>
                <w:color w:val="23333D"/>
                <w:sz w:val="16"/>
              </w:rPr>
              <w:t>Vulnerability addressed:</w:t>
              <w:br/>
              <w:br/>
              <w:t>Critical function affected:</w:t>
              <w:br/>
            </w:r>
          </w:p>
        </w:tc>
        <w:tc>
          <w:tcPr>
            <w:tcW w:type="dxa" w:w="4896"/>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2376"/>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3312"/>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r>
    </w:tbl>
    <w:p>
      <w:pPr>
        <w:spacing w:after="0"/>
      </w:pPr>
    </w:p>
    <w:tbl>
      <w:tblPr>
        <w:tblW w:type="auto" w:w="0"/>
        <w:jc w:val="center"/>
        <w:tblLayout w:type="fixed"/>
        <w:tblLook w:firstColumn="1" w:firstRow="1" w:lastColumn="0" w:lastRow="0" w:noHBand="0" w:noVBand="1" w:val="04A0"/>
        <w:tblBorders>
          <w:top w:val="single" w:sz="6" w:space="0" w:color="CCD7DC"/>
          <w:left w:val="single" w:sz="6" w:space="0" w:color="CCD7DC"/>
          <w:bottom w:val="single" w:sz="6" w:space="0" w:color="CCD7DC"/>
          <w:right w:val="single" w:sz="6" w:space="0" w:color="CCD7DC"/>
          <w:insideH w:val="single" w:sz="6" w:space="0" w:color="CCD7DC"/>
          <w:insideV w:val="single" w:sz="6" w:space="0" w:color="CCD7DC"/>
        </w:tblBorders>
      </w:tblPr>
      <w:tblGrid>
        <w:gridCol w:w="3600"/>
        <w:gridCol w:w="3600"/>
        <w:gridCol w:w="3600"/>
        <w:gridCol w:w="3600"/>
      </w:tblGrid>
      <w:tr>
        <w:trPr>
          <w:cantSplit/>
        </w:trPr>
        <w:tc>
          <w:tcPr>
            <w:tcW w:type="dxa" w:w="3384"/>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Priority Strategy 2</w:t>
            </w:r>
          </w:p>
        </w:tc>
        <w:tc>
          <w:tcPr>
            <w:tcW w:type="dxa" w:w="4896"/>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What Will We Do?</w:t>
            </w:r>
          </w:p>
        </w:tc>
        <w:tc>
          <w:tcPr>
            <w:tcW w:type="dxa" w:w="2376"/>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Owner</w:t>
            </w:r>
          </w:p>
        </w:tc>
        <w:tc>
          <w:tcPr>
            <w:tcW w:type="dxa" w:w="3312"/>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What Must Be Arranged?</w:t>
            </w:r>
          </w:p>
        </w:tc>
      </w:tr>
      <w:tr>
        <w:trPr>
          <w:cantSplit/>
        </w:trPr>
        <w:tc>
          <w:tcPr>
            <w:tcW w:type="dxa" w:w="3384"/>
            <w:vAlign w:val="center"/>
            <w:tcMar>
              <w:top w:w="80" w:type="dxa"/>
              <w:start w:w="90" w:type="dxa"/>
              <w:bottom w:w="80" w:type="dxa"/>
              <w:end w:w="90" w:type="dxa"/>
            </w:tcMar>
          </w:tcPr>
          <w:p>
            <w:pPr>
              <w:spacing w:after="0" w:line="240" w:lineRule="auto"/>
              <w:jc w:val="left"/>
            </w:pPr>
            <w:r/>
            <w:r>
              <w:rPr>
                <w:rFonts w:ascii="Aptos" w:hAnsi="Aptos"/>
                <w:b w:val="0"/>
                <w:color w:val="23333D"/>
                <w:sz w:val="16"/>
              </w:rPr>
              <w:t>Vulnerability addressed:</w:t>
              <w:br/>
              <w:br/>
              <w:t>Critical function affected:</w:t>
              <w:br/>
            </w:r>
          </w:p>
        </w:tc>
        <w:tc>
          <w:tcPr>
            <w:tcW w:type="dxa" w:w="4896"/>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2376"/>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3312"/>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r>
    </w:tbl>
    <w:p>
      <w:pPr>
        <w:spacing w:after="0"/>
      </w:pPr>
    </w:p>
    <w:tbl>
      <w:tblPr>
        <w:tblW w:type="auto" w:w="0"/>
        <w:jc w:val="center"/>
        <w:tblLayout w:type="fixed"/>
        <w:tblLook w:firstColumn="1" w:firstRow="1" w:lastColumn="0" w:lastRow="0" w:noHBand="0" w:noVBand="1" w:val="04A0"/>
        <w:tblBorders>
          <w:top w:val="single" w:sz="6" w:space="0" w:color="CCD7DC"/>
          <w:left w:val="single" w:sz="6" w:space="0" w:color="CCD7DC"/>
          <w:bottom w:val="single" w:sz="6" w:space="0" w:color="CCD7DC"/>
          <w:right w:val="single" w:sz="6" w:space="0" w:color="CCD7DC"/>
          <w:insideH w:val="single" w:sz="6" w:space="0" w:color="CCD7DC"/>
          <w:insideV w:val="single" w:sz="6" w:space="0" w:color="CCD7DC"/>
        </w:tblBorders>
      </w:tblPr>
      <w:tblGrid>
        <w:gridCol w:w="3600"/>
        <w:gridCol w:w="3600"/>
        <w:gridCol w:w="3600"/>
        <w:gridCol w:w="3600"/>
      </w:tblGrid>
      <w:tr>
        <w:trPr>
          <w:cantSplit/>
        </w:trPr>
        <w:tc>
          <w:tcPr>
            <w:tcW w:type="dxa" w:w="3384"/>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Priority Strategy 3</w:t>
            </w:r>
          </w:p>
        </w:tc>
        <w:tc>
          <w:tcPr>
            <w:tcW w:type="dxa" w:w="4896"/>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What Will We Do?</w:t>
            </w:r>
          </w:p>
        </w:tc>
        <w:tc>
          <w:tcPr>
            <w:tcW w:type="dxa" w:w="2376"/>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Owner</w:t>
            </w:r>
          </w:p>
        </w:tc>
        <w:tc>
          <w:tcPr>
            <w:tcW w:type="dxa" w:w="3312"/>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What Must Be Arranged?</w:t>
            </w:r>
          </w:p>
        </w:tc>
      </w:tr>
      <w:tr>
        <w:trPr>
          <w:cantSplit/>
        </w:trPr>
        <w:tc>
          <w:tcPr>
            <w:tcW w:type="dxa" w:w="3384"/>
            <w:vAlign w:val="center"/>
            <w:tcMar>
              <w:top w:w="80" w:type="dxa"/>
              <w:start w:w="90" w:type="dxa"/>
              <w:bottom w:w="80" w:type="dxa"/>
              <w:end w:w="90" w:type="dxa"/>
            </w:tcMar>
          </w:tcPr>
          <w:p>
            <w:pPr>
              <w:spacing w:after="0" w:line="240" w:lineRule="auto"/>
              <w:jc w:val="left"/>
            </w:pPr>
            <w:r/>
            <w:r>
              <w:rPr>
                <w:rFonts w:ascii="Aptos" w:hAnsi="Aptos"/>
                <w:b w:val="0"/>
                <w:color w:val="23333D"/>
                <w:sz w:val="16"/>
              </w:rPr>
              <w:t>Vulnerability addressed:</w:t>
              <w:br/>
              <w:br/>
              <w:t>Critical function affected:</w:t>
              <w:br/>
            </w:r>
          </w:p>
        </w:tc>
        <w:tc>
          <w:tcPr>
            <w:tcW w:type="dxa" w:w="4896"/>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2376"/>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3312"/>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r>
    </w:tbl>
    <w:p>
      <w:pPr>
        <w:spacing w:after="0"/>
      </w:pPr>
    </w:p>
    <w:tbl>
      <w:tblPr>
        <w:tblW w:type="auto" w:w="0"/>
        <w:jc w:val="center"/>
        <w:tblLayout w:type="fixed"/>
        <w:tblLook w:firstColumn="1" w:firstRow="1" w:lastColumn="0" w:lastRow="0" w:noHBand="0" w:noVBand="1" w:val="04A0"/>
      </w:tblPr>
      <w:tblGrid>
        <w:gridCol w:w="14112"/>
      </w:tblGrid>
      <w:tr>
        <w:trPr>
          <w:cantSplit/>
        </w:trPr>
        <w:tc>
          <w:tcPr>
            <w:tcW w:type="dxa" w:w="14400"/>
            <w:shd w:fill="F3E7C4"/>
            <w:tcMar>
              <w:top w:w="120" w:type="dxa"/>
              <w:start w:w="150" w:type="dxa"/>
              <w:bottom w:w="120" w:type="dxa"/>
              <w:end w:w="150" w:type="dxa"/>
            </w:tcMar>
          </w:tcPr>
          <w:p>
            <w:pPr>
              <w:spacing w:after="20"/>
            </w:pPr>
            <w:r/>
            <w:r>
              <w:rPr>
                <w:rFonts w:ascii="Aptos" w:hAnsi="Aptos"/>
                <w:b/>
                <w:color w:val="183B56"/>
                <w:sz w:val="20"/>
              </w:rPr>
              <w:t>What to do next</w:t>
              <w:br/>
            </w:r>
            <w:r>
              <w:rPr>
                <w:rFonts w:ascii="Aptos" w:hAnsi="Aptos"/>
                <w:color w:val="23333D"/>
                <w:sz w:val="18"/>
              </w:rPr>
              <w:t>Carry these priority strategies into your Business Continuity Plan. Confirm the related activation triggers, decision authority, resource requirements and owners, then test the arrangements before relying on them. For the complete planning process, see the DRM Authority Business Continuity Planning Workbook, Section 4: Continuity Strategies.</w:t>
            </w:r>
          </w:p>
        </w:tc>
      </w:tr>
    </w:tbl>
    <w:p>
      <w:pPr>
        <w:spacing w:after="0"/>
      </w:pPr>
    </w:p>
    <w:p>
      <w:r>
        <w:br w:type="page"/>
      </w:r>
    </w:p>
    <w:p>
      <w:pPr>
        <w:spacing w:before="0" w:after="40"/>
      </w:pPr>
      <w:r>
        <w:rPr>
          <w:rFonts w:ascii="Arial" w:hAnsi="Arial" w:eastAsia="Arial"/>
          <w:b/>
          <w:i w:val="0"/>
          <w:color w:val="0893B5"/>
          <w:sz w:val="16"/>
        </w:rPr>
        <w:t>BUSINESS RESILIENCE STARTER KIT</w:t>
      </w:r>
    </w:p>
    <w:p>
      <w:pPr>
        <w:spacing w:before="0" w:after="80"/>
      </w:pPr>
      <w:r>
        <w:rPr>
          <w:rFonts w:ascii="Arial" w:hAnsi="Arial" w:eastAsia="Arial"/>
          <w:b/>
          <w:i w:val="0"/>
          <w:color w:val="08304A"/>
          <w:sz w:val="36"/>
        </w:rPr>
        <w:t>Use and Reproduction Notice</w:t>
      </w:r>
    </w:p>
    <w:p>
      <w:pPr>
        <w:spacing w:before="0" w:after="240"/>
      </w:pPr>
      <w:r>
        <w:rPr>
          <w:rFonts w:ascii="Arial" w:hAnsi="Arial" w:eastAsia="Arial"/>
          <w:b/>
          <w:i w:val="0"/>
          <w:color w:val="687682"/>
          <w:sz w:val="16"/>
        </w:rPr>
        <w:t>Version 1.0 | September 2026</w:t>
      </w:r>
    </w:p>
    <w:tbl>
      <w:tblPr>
        <w:tblW w:type="dxa" w:w="13104"/>
        <w:jc w:val="center"/>
        <w:tblLayout w:type="fixed"/>
        <w:tblLook w:firstColumn="1" w:firstRow="1" w:lastColumn="0" w:lastRow="0" w:noHBand="0" w:noVBand="1" w:val="04A0"/>
        <w:tblBorders>
          <w:top w:val="nil"/>
          <w:left w:val="nil"/>
          <w:bottom w:val="nil"/>
          <w:right w:val="nil"/>
          <w:insideH w:val="nil"/>
          <w:insideV w:val="nil"/>
        </w:tblBorders>
      </w:tblPr>
      <w:tblGrid>
        <w:gridCol w:w="14400"/>
      </w:tblGrid>
      <w:tr>
        <w:tc>
          <w:tcPr>
            <w:tcW w:type="dxa" w:w="13104"/>
            <w:tcMar>
              <w:top w:w="160" w:type="dxa"/>
              <w:start w:w="180" w:type="dxa"/>
              <w:bottom w:w="160" w:type="dxa"/>
              <w:end w:w="180" w:type="dxa"/>
            </w:tcMar>
            <w:shd w:fill="EAF4F7"/>
          </w:tcPr>
          <w:p>
            <w:pPr>
              <w:spacing w:before="0" w:after="160" w:line="252" w:lineRule="auto"/>
            </w:pPr>
            <w:r>
              <w:rPr>
                <w:rFonts w:ascii="Arial" w:hAnsi="Arial" w:eastAsia="Arial"/>
                <w:b w:val="0"/>
                <w:i w:val="0"/>
                <w:color w:val="08304A"/>
                <w:sz w:val="19"/>
              </w:rPr>
              <w:t>This tool has been developed by the Disaster Risk Management Authority (DRM Authority) of The Bahamas as part of its Business Resilience Programme and is provided to support practical business continuity and resilience planning.</w:t>
            </w:r>
          </w:p>
          <w:p>
            <w:pPr>
              <w:spacing w:before="0" w:after="160" w:line="252" w:lineRule="auto"/>
            </w:pPr>
            <w:r>
              <w:rPr>
                <w:rFonts w:ascii="Arial" w:hAnsi="Arial" w:eastAsia="Arial"/>
                <w:b w:val="0"/>
                <w:i w:val="0"/>
                <w:color w:val="08304A"/>
                <w:sz w:val="19"/>
              </w:rPr>
              <w:t>Businesses and organizations may reproduce and adapt this tool for their own internal business continuity and resilience planning, provided that attribution to the DRM Authority and any applicable third-party acknowledgements are retained.</w:t>
            </w:r>
          </w:p>
          <w:p>
            <w:pPr>
              <w:spacing w:before="0" w:after="160" w:line="252" w:lineRule="auto"/>
            </w:pPr>
            <w:r>
              <w:rPr>
                <w:rFonts w:ascii="Arial" w:hAnsi="Arial" w:eastAsia="Arial"/>
                <w:b w:val="0"/>
                <w:i w:val="0"/>
                <w:color w:val="08304A"/>
                <w:sz w:val="19"/>
              </w:rPr>
              <w:t>This tool, its templates, or any substantial portion of them may not be sold, rebranded, republished, incorporated into a commercial product, or used to deliver paid training, facilitation, consultancy or other commercial services without the prior written permission of the DRM Authority.</w:t>
            </w:r>
          </w:p>
          <w:p>
            <w:pPr>
              <w:spacing w:before="0" w:after="160" w:line="252" w:lineRule="auto"/>
            </w:pPr>
            <w:r>
              <w:rPr>
                <w:rFonts w:ascii="Arial" w:hAnsi="Arial" w:eastAsia="Arial"/>
                <w:b w:val="0"/>
                <w:i w:val="0"/>
                <w:color w:val="08304A"/>
                <w:sz w:val="19"/>
              </w:rPr>
              <w:t>Use of this material does not imply endorsement, accreditation or certification by the DRM Authority. Third-party material, where identified, remains subject to the rights and terms of its respective owner.</w:t>
            </w:r>
          </w:p>
        </w:tc>
      </w:tr>
    </w:tbl>
    <w:tbl>
      <w:tblPr>
        <w:tblW w:type="dxa" w:w="13104"/>
        <w:jc w:val="center"/>
        <w:tblLayout w:type="fixed"/>
        <w:tblLook w:firstColumn="1" w:firstRow="1" w:lastColumn="0" w:lastRow="0" w:noHBand="0" w:noVBand="1" w:val="04A0"/>
        <w:tblBorders>
          <w:top w:val="nil"/>
          <w:left w:val="nil"/>
          <w:bottom w:val="nil"/>
          <w:right w:val="nil"/>
          <w:insideH w:val="nil"/>
          <w:insideV w:val="nil"/>
        </w:tblBorders>
      </w:tblPr>
      <w:tblGrid>
        <w:gridCol w:w="14400"/>
      </w:tblGrid>
      <w:tr>
        <w:tc>
          <w:tcPr>
            <w:tcW w:type="dxa" w:w="13104"/>
            <w:tcMar>
              <w:top w:w="100" w:type="dxa"/>
              <w:start w:w="160" w:type="dxa"/>
              <w:bottom w:w="100" w:type="dxa"/>
              <w:end w:w="160" w:type="dxa"/>
            </w:tcMar>
            <w:shd w:fill="F8EAB8"/>
          </w:tcPr>
          <w:p>
            <w:pPr>
              <w:spacing w:before="0" w:after="0"/>
              <w:jc w:val="center"/>
            </w:pPr>
            <w:r>
              <w:rPr>
                <w:rFonts w:ascii="Arial" w:hAnsi="Arial" w:eastAsia="Arial"/>
                <w:b/>
                <w:i w:val="0"/>
                <w:color w:val="08304A"/>
                <w:sz w:val="19"/>
              </w:rPr>
              <w:t>Internal adaptation is permitted. Commercial reuse requires prior written permission.</w:t>
            </w:r>
          </w:p>
        </w:tc>
      </w:tr>
    </w:tbl>
    <w:sectPr w:rsidR="00FC693F" w:rsidRPr="0006063C" w:rsidSect="00034616">
      <w:footerReference w:type="default" r:id="rId9"/>
      <w:headerReference w:type="default" r:id="rId11"/>
      <w:headerReference w:type="first" r:id="rId12"/>
      <w:footerReference w:type="first" r:id="rId13"/>
      <w:pgSz w:w="15840" w:h="12240" w:orient="landscape"/>
      <w:pgMar w:top="648" w:right="720" w:bottom="648" w:left="720" w:header="43" w:footer="5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4776"/>
          <w:gridCol w:w="4776"/>
          <w:gridCol w:w="4776"/>
        </w:tblGrid>
        <w:tr>
          <w:tc>
            <w:tcPr>
              <w:tcW w:type="dxa" w:w="5832"/>
              <w:tcMar>
                <w:top w:w="0" w:type="dxa"/>
                <w:start w:w="0" w:type="dxa"/>
                <w:bottom w:w="0" w:type="dxa"/>
                <w:end w:w="0" w:type="dxa"/>
              </w:tcMar>
              <w:vAlign w:val="center"/>
            </w:tcPr>
            <w:p>
              <w:pPr>
                <w:spacing w:before="0" w:after="0"/>
                <w:jc w:val="left"/>
              </w:pPr>
              <w:r>
                <w:rPr>
                  <w:rFonts w:ascii="Arial" w:hAnsi="Arial" w:eastAsia="Arial"/>
                  <w:b/>
                  <w:i w:val="0"/>
                  <w:color w:val="08304A"/>
                  <w:sz w:val="13"/>
                </w:rPr>
                <w:t>DRM Authority | Business Resilience Programme</w:t>
              </w:r>
            </w:p>
          </w:tc>
          <w:tc>
            <w:tcPr>
              <w:tcW w:type="dxa" w:w="3888"/>
              <w:tcMar>
                <w:top w:w="0" w:type="dxa"/>
                <w:start w:w="0" w:type="dxa"/>
                <w:bottom w:w="0" w:type="dxa"/>
                <w:end w:w="0" w:type="dxa"/>
              </w:tcMar>
              <w:vAlign w:val="center"/>
            </w:tcPr>
            <w:p>
              <w:pPr>
                <w:spacing w:before="0" w:after="0"/>
                <w:jc w:val="center"/>
              </w:pPr>
              <w:r>
                <w:rPr>
                  <w:rFonts w:ascii="Arial" w:hAnsi="Arial" w:eastAsia="Arial"/>
                  <w:b w:val="0"/>
                  <w:i w:val="0"/>
                  <w:color w:val="687682"/>
                  <w:sz w:val="13"/>
                </w:rPr>
                <w:t>Version 1.0 | September 2026</w:t>
              </w:r>
            </w:p>
          </w:tc>
          <w:tc>
            <w:tcPr>
              <w:tcW w:type="dxa" w:w="4608"/>
              <w:tcMar>
                <w:top w:w="0" w:type="dxa"/>
                <w:start w:w="0" w:type="dxa"/>
                <w:bottom w:w="0" w:type="dxa"/>
                <w:end w:w="0" w:type="dxa"/>
              </w:tcMar>
              <w:vAlign w:val="center"/>
            </w:tcPr>
            <w:p>
              <w:pPr>
                <w:spacing w:before="0" w:after="0"/>
                <w:jc w:val="right"/>
              </w:pPr>
              <w:r>
                <w:rPr>
                  <w:rFonts w:ascii="Arial" w:hAnsi="Arial" w:eastAsia="Arial"/>
                  <w:b w:val="0"/>
                  <w:i w:val="0"/>
                  <w:color w:val="08304A"/>
                  <w:sz w:val="13"/>
                </w:rPr>
                <w:t xml:space="preserve">Page </w:t>
              </w:r>
              <w:fldSimple w:instr="PAGE">
                <w:r>
                  <w:rPr>
                    <w:rFonts w:ascii="Arial" w:hAnsi="Arial"/>
                    <w:sz w:val="13"/>
                    <w:color w:val="08304A"/>
                  </w:rPr>
                  <w:t>1</w:t>
                </w:r>
              </w:fldSimple>
              <w:r>
                <w:rPr>
                  <w:rFonts w:ascii="Arial" w:hAnsi="Arial" w:eastAsia="Arial"/>
                  <w:b w:val="0"/>
                  <w:i w:val="0"/>
                  <w:color w:val="08304A"/>
                  <w:sz w:val="13"/>
                </w:rPr>
                <w:t xml:space="preserve"> of </w:t>
              </w:r>
              <w:fldSimple w:instr="NUMPAGES">
                <w:r>
                  <w:rPr>
                    <w:rFonts w:ascii="Arial" w:hAnsi="Arial"/>
                    <w:sz w:val="13"/>
                    <w:color w:val="08304A"/>
                  </w:rPr>
                  <w:t>1</w:t>
                </w:r>
              </w:fldSimple>
            </w:p>
          </w:tc>
        </w:tr>
        <w:tr>
          <w:tc>
            <w:tcPr>
              <w:tcW w:type="dxa" w:w="14328"/>
              <w:gridSpan w:val="3"/>
              <w:tcMar>
                <w:top w:w="0" w:type="dxa"/>
                <w:start w:w="0" w:type="dxa"/>
                <w:bottom w:w="0" w:type="dxa"/>
                <w:end w:w="0" w:type="dxa"/>
              </w:tcMar>
            </w:tcPr>
            <w:p>
              <w:pPr>
                <w:spacing w:before="0" w:after="0"/>
                <w:jc w:val="center"/>
              </w:pPr>
              <w:r>
                <w:rPr>
                  <w:rFonts w:ascii="Arial" w:hAnsi="Arial" w:eastAsia="Arial"/>
                  <w:b w:val="0"/>
                  <w:i w:val="0"/>
                  <w:color w:val="687682"/>
                  <w:sz w:val="12"/>
                </w:rPr>
                <w:t>For internal business continuity and resilience planning. Commercial use requires prior written permission.</w:t>
              </w:r>
            </w:p>
          </w:tc>
        </w:tr>
      </w:tbl>
    </w:sdtContent>
  </w:sdt>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4776"/>
          <w:gridCol w:w="4776"/>
          <w:gridCol w:w="4776"/>
        </w:tblGrid>
        <w:tr>
          <w:tc>
            <w:tcPr>
              <w:tcW w:type="dxa" w:w="5832"/>
              <w:tcMar>
                <w:top w:w="0" w:type="dxa"/>
                <w:start w:w="0" w:type="dxa"/>
                <w:bottom w:w="0" w:type="dxa"/>
                <w:end w:w="0" w:type="dxa"/>
              </w:tcMar>
              <w:vAlign w:val="center"/>
            </w:tcPr>
            <w:p>
              <w:pPr>
                <w:spacing w:before="0" w:after="0"/>
                <w:jc w:val="left"/>
              </w:pPr>
              <w:r>
                <w:rPr>
                  <w:rFonts w:ascii="Arial" w:hAnsi="Arial" w:eastAsia="Arial"/>
                  <w:b/>
                  <w:i w:val="0"/>
                  <w:color w:val="08304A"/>
                  <w:sz w:val="13"/>
                </w:rPr>
                <w:t>DRM Authority | Business Resilience Programme</w:t>
              </w:r>
            </w:p>
          </w:tc>
          <w:tc>
            <w:tcPr>
              <w:tcW w:type="dxa" w:w="3888"/>
              <w:tcMar>
                <w:top w:w="0" w:type="dxa"/>
                <w:start w:w="0" w:type="dxa"/>
                <w:bottom w:w="0" w:type="dxa"/>
                <w:end w:w="0" w:type="dxa"/>
              </w:tcMar>
              <w:vAlign w:val="center"/>
            </w:tcPr>
            <w:p>
              <w:pPr>
                <w:spacing w:before="0" w:after="0"/>
                <w:jc w:val="center"/>
              </w:pPr>
              <w:r>
                <w:rPr>
                  <w:rFonts w:ascii="Arial" w:hAnsi="Arial" w:eastAsia="Arial"/>
                  <w:b w:val="0"/>
                  <w:i w:val="0"/>
                  <w:color w:val="687682"/>
                  <w:sz w:val="13"/>
                </w:rPr>
                <w:t>Version 1.0 | September 2026</w:t>
              </w:r>
            </w:p>
          </w:tc>
          <w:tc>
            <w:tcPr>
              <w:tcW w:type="dxa" w:w="4608"/>
              <w:tcMar>
                <w:top w:w="0" w:type="dxa"/>
                <w:start w:w="0" w:type="dxa"/>
                <w:bottom w:w="0" w:type="dxa"/>
                <w:end w:w="0" w:type="dxa"/>
              </w:tcMar>
              <w:vAlign w:val="center"/>
            </w:tcPr>
            <w:p>
              <w:pPr>
                <w:spacing w:before="0" w:after="0"/>
                <w:jc w:val="right"/>
              </w:pPr>
              <w:r>
                <w:rPr>
                  <w:rFonts w:ascii="Arial" w:hAnsi="Arial" w:eastAsia="Arial"/>
                  <w:b w:val="0"/>
                  <w:i w:val="0"/>
                  <w:color w:val="08304A"/>
                  <w:sz w:val="13"/>
                </w:rPr>
                <w:t xml:space="preserve">Page </w:t>
              </w:r>
              <w:fldSimple w:instr="PAGE">
                <w:r>
                  <w:rPr>
                    <w:rFonts w:ascii="Arial" w:hAnsi="Arial"/>
                    <w:sz w:val="13"/>
                    <w:color w:val="08304A"/>
                  </w:rPr>
                  <w:t>1</w:t>
                </w:r>
              </w:fldSimple>
              <w:r>
                <w:rPr>
                  <w:rFonts w:ascii="Arial" w:hAnsi="Arial" w:eastAsia="Arial"/>
                  <w:b w:val="0"/>
                  <w:i w:val="0"/>
                  <w:color w:val="08304A"/>
                  <w:sz w:val="13"/>
                </w:rPr>
                <w:t xml:space="preserve"> of </w:t>
              </w:r>
              <w:fldSimple w:instr="NUMPAGES">
                <w:r>
                  <w:rPr>
                    <w:rFonts w:ascii="Arial" w:hAnsi="Arial"/>
                    <w:sz w:val="13"/>
                    <w:color w:val="08304A"/>
                  </w:rPr>
                  <w:t>1</w:t>
                </w:r>
              </w:fldSimple>
            </w:p>
          </w:tc>
        </w:tr>
        <w:tr>
          <w:tc>
            <w:tcPr>
              <w:tcW w:type="dxa" w:w="14328"/>
              <w:gridSpan w:val="3"/>
              <w:tcMar>
                <w:top w:w="0" w:type="dxa"/>
                <w:start w:w="0" w:type="dxa"/>
                <w:bottom w:w="0" w:type="dxa"/>
                <w:end w:w="0" w:type="dxa"/>
              </w:tcMar>
            </w:tcPr>
            <w:p>
              <w:pPr>
                <w:spacing w:before="0" w:after="0"/>
                <w:jc w:val="center"/>
              </w:pPr>
              <w:r>
                <w:rPr>
                  <w:rFonts w:ascii="Arial" w:hAnsi="Arial" w:eastAsia="Arial"/>
                  <w:b w:val="0"/>
                  <w:i w:val="0"/>
                  <w:color w:val="687682"/>
                  <w:sz w:val="12"/>
                </w:rPr>
                <w:t>For internal business continuity and resilience planning. Commercial use requires prior written permission.</w:t>
              </w:r>
            </w:p>
          </w:tc>
        </w:tr>
      </w:tbl>
    </w:sdtContent>
  </w:sdt>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7164"/>
          <w:gridCol w:w="7164"/>
        </w:tblGrid>
        <w:tr>
          <w:tc>
            <w:tcPr>
              <w:tcW w:type="dxa" w:w="2951"/>
              <w:tcMar>
                <w:top w:w="0" w:type="dxa"/>
                <w:start w:w="0" w:type="dxa"/>
                <w:bottom w:w="0" w:type="dxa"/>
                <w:end w:w="40" w:type="dxa"/>
              </w:tcMar>
              <w:vAlign w:val="center"/>
            </w:tcPr>
            <w:p>
              <w:pPr>
                <w:spacing w:before="0" w:after="0"/>
                <w:jc w:val="left"/>
              </w:pPr>
              <w:r>
                <w:drawing>
                  <wp:inline xmlns:a="http://schemas.openxmlformats.org/drawingml/2006/main" xmlns:pic="http://schemas.openxmlformats.org/drawingml/2006/picture">
                    <wp:extent cx="1170432" cy="365760"/>
                    <wp:docPr id="1" name="Picture 1"/>
                    <wp:cNvGraphicFramePr>
                      <a:graphicFrameLocks noChangeAspect="1"/>
                    </wp:cNvGraphicFramePr>
                    <a:graphic>
                      <a:graphicData uri="http://schemas.openxmlformats.org/drawingml/2006/picture">
                        <pic:pic>
                          <pic:nvPicPr>
                            <pic:cNvPr id="0" name="A_DRMLogo-FULL.png"/>
                            <pic:cNvPicPr/>
                          </pic:nvPicPr>
                          <pic:blipFill>
                            <a:blip r:embed="rId1"/>
                            <a:stretch>
                              <a:fillRect/>
                            </a:stretch>
                          </pic:blipFill>
                          <pic:spPr>
                            <a:xfrm>
                              <a:off x="0" y="0"/>
                              <a:ext cx="1170432" cy="365760"/>
                            </a:xfrm>
                            <a:prstGeom prst="rect"/>
                          </pic:spPr>
                        </pic:pic>
                      </a:graphicData>
                    </a:graphic>
                  </wp:inline>
                </w:drawing>
              </w:r>
            </w:p>
          </w:tc>
          <w:tc>
            <w:tcPr>
              <w:tcW w:type="dxa" w:w="11376"/>
              <w:tcMar>
                <w:top w:w="0" w:type="dxa"/>
                <w:start w:w="40" w:type="dxa"/>
                <w:bottom w:w="0" w:type="dxa"/>
                <w:end w:w="0" w:type="dxa"/>
              </w:tcMar>
              <w:vAlign w:val="center"/>
            </w:tcPr>
            <w:p>
              <w:pPr>
                <w:spacing w:before="0" w:after="0"/>
                <w:jc w:val="right"/>
              </w:pPr>
              <w:r>
                <w:rPr>
                  <w:rFonts w:ascii="Arial" w:hAnsi="Arial" w:eastAsia="Arial"/>
                  <w:b/>
                  <w:i w:val="0"/>
                  <w:color w:val="08304A"/>
                  <w:sz w:val="15"/>
                </w:rPr>
                <w:t>Continuity Strategy Planner</w:t>
              </w:r>
            </w:p>
          </w:tc>
        </w:tr>
      </w:tbl>
    </w:sdtContent>
  </w:sdt>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Title">
    <w:name w:val="ToolkitTitle"/>
    <w:pPr>
      <w:spacing w:after="80"/>
    </w:pPr>
    <w:rPr>
      <w:rFonts w:ascii="Aptos" w:hAnsi="Aptos"/>
      <w:b/>
      <w:color w:val="183B56"/>
      <w:sz w:val="44"/>
    </w:rPr>
  </w:style>
  <w:style w:type="paragraph" w:customStyle="1" w:styleId="ToolkitKicker">
    <w:name w:val="ToolkitKicker"/>
    <w:pPr>
      <w:spacing w:after="80"/>
    </w:pPr>
    <w:rPr>
      <w:rFonts w:ascii="Aptos" w:hAnsi="Aptos"/>
      <w:b/>
      <w:color w:val="2B6F73"/>
      <w:sz w:val="16"/>
    </w:rPr>
  </w:style>
  <w:style w:type="paragraph" w:customStyle="1" w:styleId="ToolkitSub">
    <w:name w:val="ToolkitSub"/>
    <w:pPr>
      <w:spacing w:after="80"/>
    </w:pPr>
    <w:rPr>
      <w:rFonts w:ascii="Aptos" w:hAnsi="Aptos"/>
      <w:b w:val="0"/>
      <w:color w:val="6B747A"/>
      <w:sz w:val="20"/>
    </w:rPr>
  </w:style>
  <w:style w:type="paragraph" w:customStyle="1" w:styleId="SectionHead">
    <w:name w:val="SectionHead"/>
    <w:pPr>
      <w:spacing w:after="80"/>
    </w:pPr>
    <w:rPr>
      <w:rFonts w:ascii="Aptos" w:hAnsi="Aptos"/>
      <w:b/>
      <w:color w:val="183B56"/>
      <w:sz w:val="26"/>
    </w:rPr>
  </w:style>
  <w:style w:type="paragraph" w:customStyle="1" w:styleId="SmallHead">
    <w:name w:val="SmallHead"/>
    <w:pPr>
      <w:spacing w:after="80"/>
    </w:pPr>
    <w:rPr>
      <w:rFonts w:ascii="Aptos" w:hAnsi="Aptos"/>
      <w:b/>
      <w:color w:val="2B6F73"/>
      <w:sz w:val="18"/>
    </w:rPr>
  </w:style>
  <w:style w:type="paragraph" w:customStyle="1" w:styleId="Tiny">
    <w:name w:val="Tiny"/>
    <w:pPr>
      <w:spacing w:after="80"/>
    </w:pPr>
    <w:rPr>
      <w:rFonts w:ascii="Aptos" w:hAnsi="Aptos"/>
      <w:b w:val="0"/>
      <w:color w:val="6B747A"/>
      <w:sz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Continuity Strategy Planner</dc:title>
  <dc:subject>DRM Authority Business Resilience Starter Kit</dc:subject>
  <dc:creator>Disaster Risk Management Authority, The Bahamas</dc:creator>
  <cp:keywords>business resilience, business continuity, disaster risk management, The Bahamas</cp:keywords>
  <dc:description>Version 1.0 | September 2026</dc:description>
  <cp:lastModifiedBy/>
  <cp:revision>1</cp:revision>
  <dcterms:created xsi:type="dcterms:W3CDTF">2013-12-23T23:15:00Z</dcterms:created>
  <dcterms:modified xsi:type="dcterms:W3CDTF">2013-12-23T23:15:00Z</dcterms:modified>
  <cp:category/>
</cp:coreProperties>
</file>