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14327"/>
        <w:jc w:val="center"/>
        <w:tblLayout w:type="fixed"/>
        <w:tblLook w:firstColumn="1" w:firstRow="1" w:lastColumn="0" w:lastRow="0" w:noHBand="0" w:noVBand="1" w:val="04A0"/>
        <w:tblBorders>
          <w:top w:val="nil"/>
          <w:left w:val="nil"/>
          <w:bottom w:val="nil"/>
          <w:right w:val="nil"/>
          <w:insideH w:val="nil"/>
          <w:insideV w:val="nil"/>
        </w:tblBorders>
      </w:tblPr>
      <w:tblGrid>
        <w:gridCol w:w="7200"/>
        <w:gridCol w:w="7200"/>
      </w:tblGrid>
      <w:tr>
        <w:tc>
          <w:tcPr>
            <w:tcW w:type="dxa" w:w="10296"/>
            <w:tcMar>
              <w:top w:w="0" w:type="dxa"/>
              <w:start w:w="0" w:type="dxa"/>
              <w:bottom w:w="0" w:type="dxa"/>
              <w:end w:w="80" w:type="dxa"/>
            </w:tcMar>
            <w:vAlign w:val="center"/>
          </w:tcPr>
          <w:p>
            <w:pPr>
              <w:pStyle w:val="ToolkitKicker"/>
              <w:keepNext/>
              <w:spacing w:before="0" w:after="20"/>
              <w:jc w:val="center"/>
            </w:pPr>
            <w:r>
              <w:t>BUSINESS RESILIENCE STARTER KIT</w:t>
            </w:r>
          </w:p>
          <w:p>
            <w:pPr>
              <w:pStyle w:val="ToolkitTitle"/>
              <w:keepNext/>
              <w:spacing w:before="0" w:after="40"/>
              <w:jc w:val="center"/>
            </w:pPr>
            <w:r>
              <w:t>Critical Dependencies &amp; Single Points of Failure Tool</w:t>
            </w:r>
          </w:p>
          <w:p>
            <w:pPr>
              <w:pStyle w:val="ToolkitSub"/>
              <w:keepNext/>
              <w:spacing w:before="0" w:after="0"/>
              <w:jc w:val="center"/>
            </w:pPr>
            <w:r>
              <w:t>Disaster Risk Management Authority | The Bahamas</w:t>
            </w:r>
          </w:p>
          <w:p>
            <w:pPr>
              <w:pStyle w:val="Tiny"/>
              <w:keepNext/>
              <w:spacing w:before="0" w:after="0"/>
              <w:jc w:val="center"/>
            </w:pPr>
            <w:r>
              <w:t>Derived from the DRM Authority Business Continuity Planning Workbook</w:t>
            </w:r>
          </w:p>
        </w:tc>
        <w:tc>
          <w:tcPr>
            <w:tcW w:type="dxa" w:w="4031"/>
            <w:tcMar>
              <w:top w:w="0" w:type="dxa"/>
              <w:start w:w="80" w:type="dxa"/>
              <w:bottom w:w="0" w:type="dxa"/>
              <w:end w:w="0" w:type="dxa"/>
            </w:tcMar>
            <w:vAlign w:val="center"/>
          </w:tcPr>
          <w:p>
            <w:pPr>
              <w:keepNext/>
              <w:spacing w:before="0" w:after="0"/>
              <w:jc w:val="right"/>
            </w:pPr>
            <w:r>
              <w:drawing>
                <wp:inline xmlns:a="http://schemas.openxmlformats.org/drawingml/2006/main" xmlns:pic="http://schemas.openxmlformats.org/drawingml/2006/picture">
                  <wp:extent cx="2148840" cy="671512"/>
                  <wp:docPr id="1" name="Picture 1"/>
                  <wp:cNvGraphicFramePr>
                    <a:graphicFrameLocks noChangeAspect="1"/>
                  </wp:cNvGraphicFramePr>
                  <a:graphic>
                    <a:graphicData uri="http://schemas.openxmlformats.org/drawingml/2006/picture">
                      <pic:pic>
                        <pic:nvPicPr>
                          <pic:cNvPr id="0" name="A_DRMLogo-FULL.png"/>
                          <pic:cNvPicPr/>
                        </pic:nvPicPr>
                        <pic:blipFill>
                          <a:blip r:embed="rId10"/>
                          <a:stretch>
                            <a:fillRect/>
                          </a:stretch>
                        </pic:blipFill>
                        <pic:spPr>
                          <a:xfrm>
                            <a:off x="0" y="0"/>
                            <a:ext cx="2148840" cy="671512"/>
                          </a:xfrm>
                          <a:prstGeom prst="rect"/>
                        </pic:spPr>
                      </pic:pic>
                    </a:graphicData>
                  </a:graphic>
                </wp:inline>
              </w:drawing>
            </w:r>
          </w:p>
        </w:tc>
      </w:tr>
    </w:tbl>
    <w:tbl>
      <w:tblPr>
        <w:tblW w:type="auto" w:w="0"/>
        <w:jc w:val="center"/>
        <w:tblLayout w:type="fixed"/>
        <w:tblLook w:firstColumn="1" w:firstRow="1" w:lastColumn="0" w:lastRow="0" w:noHBand="0" w:noVBand="1" w:val="04A0"/>
      </w:tblPr>
      <w:tblGrid>
        <w:gridCol w:w="14112"/>
      </w:tblGrid>
      <w:tr>
        <w:trPr>
          <w:cantSplit/>
        </w:trPr>
        <w:tc>
          <w:tcPr>
            <w:tcW w:type="dxa" w:w="14400"/>
            <w:shd w:fill="EAF1F4"/>
            <w:tcMar>
              <w:top w:w="120" w:type="dxa"/>
              <w:start w:w="150" w:type="dxa"/>
              <w:bottom w:w="120" w:type="dxa"/>
              <w:end w:w="150" w:type="dxa"/>
            </w:tcMar>
          </w:tcPr>
          <w:p>
            <w:pPr>
              <w:spacing w:after="20"/>
            </w:pPr>
            <w:r/>
            <w:r>
              <w:rPr>
                <w:rFonts w:ascii="Aptos" w:hAnsi="Aptos"/>
                <w:b/>
                <w:color w:val="183B56"/>
                <w:sz w:val="20"/>
              </w:rPr>
              <w:t>What this tool helps you do</w:t>
              <w:br/>
            </w:r>
            <w:r>
              <w:rPr>
                <w:rFonts w:ascii="Aptos" w:hAnsi="Aptos"/>
                <w:color w:val="23333D"/>
                <w:sz w:val="18"/>
              </w:rPr>
              <w:t>Identify what each critical function depends on, uncover dependencies that could interrupt operations, challenge assumptions in your continuity planning, and identify single points of failure that require priority action.</w:t>
            </w:r>
          </w:p>
        </w:tc>
      </w:tr>
    </w:tbl>
    <w:p>
      <w:pPr>
        <w:spacing w:after="0"/>
      </w:pPr>
    </w:p>
    <w:tbl>
      <w:tblPr>
        <w:tblW w:type="auto" w:w="0"/>
        <w:jc w:val="center"/>
        <w:tblLayout w:type="fixed"/>
        <w:tblLook w:firstColumn="1" w:firstRow="1" w:lastColumn="0" w:lastRow="0" w:noHBand="0" w:noVBand="1" w:val="04A0"/>
      </w:tblPr>
      <w:tblGrid>
        <w:gridCol w:w="7200"/>
        <w:gridCol w:w="7200"/>
      </w:tblGrid>
      <w:tr>
        <w:trPr>
          <w:cantSplit/>
        </w:trPr>
        <w:tc>
          <w:tcPr>
            <w:tcW w:type="dxa" w:w="6984"/>
            <w:shd w:fill="F6F8F9"/>
            <w:vAlign w:val="center"/>
            <w:tcMar>
              <w:top w:w="80" w:type="dxa"/>
              <w:start w:w="90" w:type="dxa"/>
              <w:bottom w:w="80" w:type="dxa"/>
              <w:end w:w="90" w:type="dxa"/>
            </w:tcMar>
          </w:tcPr>
          <w:p>
            <w:pPr>
              <w:spacing w:after="0" w:line="240" w:lineRule="auto"/>
              <w:jc w:val="left"/>
            </w:pPr>
            <w:r/>
            <w:r>
              <w:rPr>
                <w:rFonts w:ascii="Aptos" w:hAnsi="Aptos"/>
                <w:b w:val="0"/>
                <w:color w:val="23333D"/>
                <w:sz w:val="17"/>
              </w:rPr>
              <w:t>Use this tool when...</w:t>
              <w:br/>
              <w:br/>
              <w:t>• you have identified your critical functions and recovery priorities;</w:t>
              <w:br/>
              <w:t>• you need to understand what those functions rely on to operate;</w:t>
              <w:br/>
              <w:t>• you suspect the business depends too heavily on one person, supplier, system, location or service; or</w:t>
              <w:br/>
              <w:t>• you want to identify weaknesses before selecting continuity strategies.</w:t>
            </w:r>
          </w:p>
        </w:tc>
        <w:tc>
          <w:tcPr>
            <w:tcW w:type="dxa" w:w="6984"/>
            <w:shd w:fill="F6F8F9"/>
            <w:vAlign w:val="center"/>
            <w:tcMar>
              <w:top w:w="80" w:type="dxa"/>
              <w:start w:w="90" w:type="dxa"/>
              <w:bottom w:w="80" w:type="dxa"/>
              <w:end w:w="90" w:type="dxa"/>
            </w:tcMar>
          </w:tcPr>
          <w:p>
            <w:pPr>
              <w:spacing w:after="0" w:line="240" w:lineRule="auto"/>
              <w:jc w:val="left"/>
            </w:pPr>
            <w:r/>
            <w:r>
              <w:rPr>
                <w:rFonts w:ascii="Aptos" w:hAnsi="Aptos"/>
                <w:b w:val="0"/>
                <w:color w:val="23333D"/>
                <w:sz w:val="17"/>
              </w:rPr>
              <w:t>How to use the tool</w:t>
              <w:br/>
              <w:br/>
              <w:t>1. Map the people, premises/equipment, utilities, technology/data, suppliers, transport/shipping, finance/banking and external services supporting each critical function.</w:t>
              <w:br/>
              <w:t>2. Identify dependencies with no suitable alternative.</w:t>
              <w:br/>
              <w:t>3. Challenge important assumptions your plan relies on.</w:t>
              <w:br/>
              <w:t>4. Summarize the most serious vulnerabilities.</w:t>
              <w:br/>
              <w:t>5. Carry the priority vulnerabilities into your Continuity Strategy Planner.</w:t>
            </w:r>
          </w:p>
        </w:tc>
      </w:tr>
    </w:tbl>
    <w:p/>
    <w:p>
      <w:pPr>
        <w:pStyle w:val="SectionHead"/>
      </w:pPr>
      <w:r>
        <w:t>Key concept</w:t>
      </w:r>
    </w:p>
    <w:tbl>
      <w:tblPr>
        <w:tblW w:type="auto" w:w="0"/>
        <w:jc w:val="center"/>
        <w:tblLayout w:type="fixed"/>
        <w:tblLook w:firstColumn="1" w:firstRow="1" w:lastColumn="0" w:lastRow="0" w:noHBand="0" w:noVBand="1" w:val="04A0"/>
      </w:tblPr>
      <w:tblGrid>
        <w:gridCol w:w="14112"/>
      </w:tblGrid>
      <w:tr>
        <w:trPr>
          <w:cantSplit/>
        </w:trPr>
        <w:tc>
          <w:tcPr>
            <w:tcW w:type="dxa" w:w="14400"/>
            <w:shd w:fill="F3E7C4"/>
            <w:tcMar>
              <w:top w:w="120" w:type="dxa"/>
              <w:start w:w="150" w:type="dxa"/>
              <w:bottom w:w="120" w:type="dxa"/>
              <w:end w:w="150" w:type="dxa"/>
            </w:tcMar>
          </w:tcPr>
          <w:p>
            <w:pPr>
              <w:spacing w:after="20"/>
            </w:pPr>
            <w:r/>
            <w:r>
              <w:rPr>
                <w:rFonts w:ascii="Aptos" w:hAnsi="Aptos"/>
                <w:b/>
                <w:color w:val="183B56"/>
                <w:sz w:val="20"/>
              </w:rPr>
              <w:t>Single Point of Failure</w:t>
              <w:br/>
            </w:r>
            <w:r>
              <w:rPr>
                <w:rFonts w:ascii="Aptos" w:hAnsi="Aptos"/>
                <w:color w:val="23333D"/>
                <w:sz w:val="18"/>
              </w:rPr>
              <w:t>A single point of failure is one person, resource, system or arrangement whose failure could stop a critical function because no suitable alternative exists.</w:t>
            </w:r>
          </w:p>
        </w:tc>
      </w:tr>
    </w:tbl>
    <w:p>
      <w:pPr>
        <w:spacing w:after="0"/>
      </w:pPr>
    </w:p>
    <w:p>
      <w:pPr>
        <w:pStyle w:val="SectionHead"/>
      </w:pPr>
      <w:r>
        <w:t>Dependency categories to consider</w:t>
      </w:r>
    </w:p>
    <w:tbl>
      <w:tblPr>
        <w:tblW w:type="auto" w:w="0"/>
        <w:jc w:val="center"/>
        <w:tblLayout w:type="fixed"/>
        <w:tblLook w:firstColumn="1" w:firstRow="1" w:lastColumn="0" w:lastRow="0" w:noHBand="0" w:noVBand="1" w:val="04A0"/>
      </w:tblPr>
      <w:tblGrid>
        <w:gridCol w:w="3600"/>
        <w:gridCol w:w="3600"/>
        <w:gridCol w:w="3600"/>
        <w:gridCol w:w="3600"/>
      </w:tblGrid>
      <w:tr>
        <w:trPr>
          <w:cantSplit/>
        </w:trPr>
        <w:tc>
          <w:tcPr>
            <w:tcW w:type="dxa" w:w="3456"/>
            <w:shd w:fill="EAF1F4"/>
            <w:tcMar>
              <w:top w:w="100" w:type="dxa"/>
              <w:start w:w="110" w:type="dxa"/>
              <w:bottom w:w="100" w:type="dxa"/>
              <w:end w:w="110" w:type="dxa"/>
            </w:tcMar>
          </w:tcPr>
          <w:p>
            <w:pPr>
              <w:spacing w:after="0"/>
            </w:pPr>
            <w:r/>
            <w:r>
              <w:rPr>
                <w:rFonts w:ascii="Aptos" w:hAnsi="Aptos"/>
                <w:b/>
                <w:color w:val="2B6F73"/>
                <w:sz w:val="16"/>
              </w:rPr>
              <w:t>People</w:t>
              <w:br/>
            </w:r>
            <w:r>
              <w:rPr>
                <w:rFonts w:ascii="Aptos" w:hAnsi="Aptos"/>
                <w:color w:val="23333D"/>
                <w:sz w:val="15"/>
              </w:rPr>
              <w:t>Key staff, skills, decision-makers, authorized users</w:t>
            </w:r>
          </w:p>
        </w:tc>
        <w:tc>
          <w:tcPr>
            <w:tcW w:type="dxa" w:w="3456"/>
            <w:shd w:fill="EAF1F4"/>
            <w:tcMar>
              <w:top w:w="100" w:type="dxa"/>
              <w:start w:w="110" w:type="dxa"/>
              <w:bottom w:w="100" w:type="dxa"/>
              <w:end w:w="110" w:type="dxa"/>
            </w:tcMar>
          </w:tcPr>
          <w:p>
            <w:pPr>
              <w:spacing w:after="0"/>
            </w:pPr>
            <w:r/>
            <w:r>
              <w:rPr>
                <w:rFonts w:ascii="Aptos" w:hAnsi="Aptos"/>
                <w:b/>
                <w:color w:val="2B6F73"/>
                <w:sz w:val="16"/>
              </w:rPr>
              <w:t>Premises / Equipment</w:t>
              <w:br/>
            </w:r>
            <w:r>
              <w:rPr>
                <w:rFonts w:ascii="Aptos" w:hAnsi="Aptos"/>
                <w:color w:val="23333D"/>
                <w:sz w:val="15"/>
              </w:rPr>
              <w:t>Worksites, machinery, vehicles, tools, physical assets</w:t>
            </w:r>
          </w:p>
        </w:tc>
        <w:tc>
          <w:tcPr>
            <w:tcW w:type="dxa" w:w="3456"/>
            <w:shd w:fill="EAF1F4"/>
            <w:tcMar>
              <w:top w:w="100" w:type="dxa"/>
              <w:start w:w="110" w:type="dxa"/>
              <w:bottom w:w="100" w:type="dxa"/>
              <w:end w:w="110" w:type="dxa"/>
            </w:tcMar>
          </w:tcPr>
          <w:p>
            <w:pPr>
              <w:spacing w:after="0"/>
            </w:pPr>
            <w:r/>
            <w:r>
              <w:rPr>
                <w:rFonts w:ascii="Aptos" w:hAnsi="Aptos"/>
                <w:b/>
                <w:color w:val="2B6F73"/>
                <w:sz w:val="16"/>
              </w:rPr>
              <w:t>Utilities</w:t>
              <w:br/>
            </w:r>
            <w:r>
              <w:rPr>
                <w:rFonts w:ascii="Aptos" w:hAnsi="Aptos"/>
                <w:color w:val="23333D"/>
                <w:sz w:val="15"/>
              </w:rPr>
              <w:t>Electricity, water, Internet, mobile/telephone, payment systems</w:t>
            </w:r>
          </w:p>
        </w:tc>
        <w:tc>
          <w:tcPr>
            <w:tcW w:type="dxa" w:w="3456"/>
            <w:shd w:fill="EAF1F4"/>
            <w:tcMar>
              <w:top w:w="100" w:type="dxa"/>
              <w:start w:w="110" w:type="dxa"/>
              <w:bottom w:w="100" w:type="dxa"/>
              <w:end w:w="110" w:type="dxa"/>
            </w:tcMar>
          </w:tcPr>
          <w:p>
            <w:pPr>
              <w:spacing w:after="0"/>
            </w:pPr>
            <w:r/>
            <w:r>
              <w:rPr>
                <w:rFonts w:ascii="Aptos" w:hAnsi="Aptos"/>
                <w:b/>
                <w:color w:val="2B6F73"/>
                <w:sz w:val="16"/>
              </w:rPr>
              <w:t>Technology / Data</w:t>
              <w:br/>
            </w:r>
            <w:r>
              <w:rPr>
                <w:rFonts w:ascii="Aptos" w:hAnsi="Aptos"/>
                <w:color w:val="23333D"/>
                <w:sz w:val="15"/>
              </w:rPr>
              <w:t>Systems, records, devices, backups, access</w:t>
            </w:r>
          </w:p>
        </w:tc>
      </w:tr>
      <w:tr>
        <w:trPr>
          <w:cantSplit/>
        </w:trPr>
        <w:tc>
          <w:tcPr>
            <w:tcW w:type="dxa" w:w="3456"/>
            <w:shd w:fill="F6F8F9"/>
            <w:tcMar>
              <w:top w:w="100" w:type="dxa"/>
              <w:start w:w="110" w:type="dxa"/>
              <w:bottom w:w="100" w:type="dxa"/>
              <w:end w:w="110" w:type="dxa"/>
            </w:tcMar>
          </w:tcPr>
          <w:p>
            <w:pPr>
              <w:spacing w:after="0"/>
            </w:pPr>
            <w:r/>
            <w:r>
              <w:rPr>
                <w:rFonts w:ascii="Aptos" w:hAnsi="Aptos"/>
                <w:b/>
                <w:color w:val="2B6F73"/>
                <w:sz w:val="16"/>
              </w:rPr>
              <w:t>Suppliers</w:t>
              <w:br/>
            </w:r>
            <w:r>
              <w:rPr>
                <w:rFonts w:ascii="Aptos" w:hAnsi="Aptos"/>
                <w:color w:val="23333D"/>
                <w:sz w:val="15"/>
              </w:rPr>
              <w:t>Critical goods, services and supplier alternatives</w:t>
            </w:r>
          </w:p>
        </w:tc>
        <w:tc>
          <w:tcPr>
            <w:tcW w:type="dxa" w:w="3456"/>
            <w:shd w:fill="F6F8F9"/>
            <w:tcMar>
              <w:top w:w="100" w:type="dxa"/>
              <w:start w:w="110" w:type="dxa"/>
              <w:bottom w:w="100" w:type="dxa"/>
              <w:end w:w="110" w:type="dxa"/>
            </w:tcMar>
          </w:tcPr>
          <w:p>
            <w:pPr>
              <w:spacing w:after="0"/>
            </w:pPr>
            <w:r/>
            <w:r>
              <w:rPr>
                <w:rFonts w:ascii="Aptos" w:hAnsi="Aptos"/>
                <w:b/>
                <w:color w:val="2B6F73"/>
                <w:sz w:val="16"/>
              </w:rPr>
              <w:t>Transport / Shipping</w:t>
              <w:br/>
            </w:r>
            <w:r>
              <w:rPr>
                <w:rFonts w:ascii="Aptos" w:hAnsi="Aptos"/>
                <w:color w:val="23333D"/>
                <w:sz w:val="15"/>
              </w:rPr>
              <w:t>Ports, airports, freight, inter-island movement, delivery routes</w:t>
            </w:r>
          </w:p>
        </w:tc>
        <w:tc>
          <w:tcPr>
            <w:tcW w:type="dxa" w:w="3456"/>
            <w:shd w:fill="F6F8F9"/>
            <w:tcMar>
              <w:top w:w="100" w:type="dxa"/>
              <w:start w:w="110" w:type="dxa"/>
              <w:bottom w:w="100" w:type="dxa"/>
              <w:end w:w="110" w:type="dxa"/>
            </w:tcMar>
          </w:tcPr>
          <w:p>
            <w:pPr>
              <w:spacing w:after="0"/>
            </w:pPr>
            <w:r/>
            <w:r>
              <w:rPr>
                <w:rFonts w:ascii="Aptos" w:hAnsi="Aptos"/>
                <w:b/>
                <w:color w:val="2B6F73"/>
                <w:sz w:val="16"/>
              </w:rPr>
              <w:t>Finance / Banking</w:t>
              <w:br/>
            </w:r>
            <w:r>
              <w:rPr>
                <w:rFonts w:ascii="Aptos" w:hAnsi="Aptos"/>
                <w:color w:val="23333D"/>
                <w:sz w:val="15"/>
              </w:rPr>
              <w:t>Payments, payroll, banking access, emergency purchasing</w:t>
            </w:r>
          </w:p>
        </w:tc>
        <w:tc>
          <w:tcPr>
            <w:tcW w:type="dxa" w:w="3456"/>
            <w:shd w:fill="F6F8F9"/>
            <w:tcMar>
              <w:top w:w="100" w:type="dxa"/>
              <w:start w:w="110" w:type="dxa"/>
              <w:bottom w:w="100" w:type="dxa"/>
              <w:end w:w="110" w:type="dxa"/>
            </w:tcMar>
          </w:tcPr>
          <w:p>
            <w:pPr>
              <w:spacing w:after="0"/>
            </w:pPr>
            <w:r/>
            <w:r>
              <w:rPr>
                <w:rFonts w:ascii="Aptos" w:hAnsi="Aptos"/>
                <w:b/>
                <w:color w:val="2B6F73"/>
                <w:sz w:val="16"/>
              </w:rPr>
              <w:t>External Services</w:t>
              <w:br/>
            </w:r>
            <w:r>
              <w:rPr>
                <w:rFonts w:ascii="Aptos" w:hAnsi="Aptos"/>
                <w:color w:val="23333D"/>
                <w:sz w:val="15"/>
              </w:rPr>
              <w:t>Regulators, professional services, outsourced providers, landlords/partners</w:t>
            </w:r>
          </w:p>
        </w:tc>
      </w:tr>
    </w:tbl>
    <w:p>
      <w:r>
        <w:br w:type="page"/>
      </w:r>
    </w:p>
    <w:p>
      <w:pPr>
        <w:pStyle w:val="SectionHead"/>
      </w:pPr>
      <w:r>
        <w:t>1. Dependency Map</w:t>
      </w:r>
    </w:p>
    <w:p>
      <w:pPr>
        <w:spacing w:after="120"/>
      </w:pPr>
      <w:r>
        <w:t>For each critical function, identify the people, places, systems, suppliers and services it relies on to operate. The purpose is to make dependencies visible so you can see where a failure in one area could interrupt the function.</w:t>
      </w:r>
    </w:p>
    <w:tbl>
      <w:tblPr>
        <w:tblW w:type="auto" w:w="0"/>
        <w:jc w:val="center"/>
        <w:tblLayout w:type="fixed"/>
        <w:tblLook w:firstColumn="1" w:firstRow="1" w:lastColumn="0" w:lastRow="0" w:noHBand="0" w:noVBand="1" w:val="04A0"/>
        <w:tblBorders>
          <w:top w:val="single" w:sz="6" w:space="0" w:color="CCD7DC"/>
          <w:left w:val="single" w:sz="6" w:space="0" w:color="CCD7DC"/>
          <w:bottom w:val="single" w:sz="6" w:space="0" w:color="CCD7DC"/>
          <w:right w:val="single" w:sz="6" w:space="0" w:color="CCD7DC"/>
          <w:insideH w:val="single" w:sz="6" w:space="0" w:color="CCD7DC"/>
          <w:insideV w:val="single" w:sz="6" w:space="0" w:color="CCD7DC"/>
        </w:tblBorders>
      </w:tblPr>
      <w:tblGrid>
        <w:gridCol w:w="1600"/>
        <w:gridCol w:w="1600"/>
        <w:gridCol w:w="1600"/>
        <w:gridCol w:w="1600"/>
        <w:gridCol w:w="1600"/>
        <w:gridCol w:w="1600"/>
        <w:gridCol w:w="1600"/>
        <w:gridCol w:w="1600"/>
        <w:gridCol w:w="1600"/>
      </w:tblGrid>
      <w:tr>
        <w:trPr>
          <w:cantSplit/>
        </w:trPr>
        <w:tc>
          <w:tcPr>
            <w:tcW w:type="dxa" w:w="1800"/>
            <w:shd w:fill="183B56"/>
            <w:vAlign w:val="center"/>
            <w:tcMar>
              <w:top w:w="80" w:type="dxa"/>
              <w:start w:w="90" w:type="dxa"/>
              <w:bottom w:w="80" w:type="dxa"/>
              <w:end w:w="90" w:type="dxa"/>
            </w:tcMar>
          </w:tcPr>
          <w:p>
            <w:pPr>
              <w:spacing w:after="0" w:line="240" w:lineRule="auto"/>
              <w:jc w:val="center"/>
            </w:pPr>
            <w:r/>
            <w:r>
              <w:rPr>
                <w:rFonts w:ascii="Aptos" w:hAnsi="Aptos"/>
                <w:b/>
                <w:color w:val="FFFFFF"/>
                <w:sz w:val="14"/>
              </w:rPr>
              <w:t>Critical Function</w:t>
            </w:r>
          </w:p>
        </w:tc>
        <w:tc>
          <w:tcPr>
            <w:tcW w:type="dxa" w:w="1512"/>
            <w:shd w:fill="183B56"/>
            <w:vAlign w:val="center"/>
            <w:tcMar>
              <w:top w:w="80" w:type="dxa"/>
              <w:start w:w="90" w:type="dxa"/>
              <w:bottom w:w="80" w:type="dxa"/>
              <w:end w:w="90" w:type="dxa"/>
            </w:tcMar>
          </w:tcPr>
          <w:p>
            <w:pPr>
              <w:spacing w:after="0" w:line="240" w:lineRule="auto"/>
              <w:jc w:val="center"/>
            </w:pPr>
            <w:r/>
            <w:r>
              <w:rPr>
                <w:rFonts w:ascii="Aptos" w:hAnsi="Aptos"/>
                <w:b/>
                <w:color w:val="FFFFFF"/>
                <w:sz w:val="14"/>
              </w:rPr>
              <w:t>People</w:t>
            </w:r>
          </w:p>
        </w:tc>
        <w:tc>
          <w:tcPr>
            <w:tcW w:type="dxa" w:w="1656"/>
            <w:shd w:fill="183B56"/>
            <w:vAlign w:val="center"/>
            <w:tcMar>
              <w:top w:w="80" w:type="dxa"/>
              <w:start w:w="90" w:type="dxa"/>
              <w:bottom w:w="80" w:type="dxa"/>
              <w:end w:w="90" w:type="dxa"/>
            </w:tcMar>
          </w:tcPr>
          <w:p>
            <w:pPr>
              <w:spacing w:after="0" w:line="240" w:lineRule="auto"/>
              <w:jc w:val="center"/>
            </w:pPr>
            <w:r/>
            <w:r>
              <w:rPr>
                <w:rFonts w:ascii="Aptos" w:hAnsi="Aptos"/>
                <w:b/>
                <w:color w:val="FFFFFF"/>
                <w:sz w:val="14"/>
              </w:rPr>
              <w:t>Premises / Equipment</w:t>
            </w:r>
          </w:p>
        </w:tc>
        <w:tc>
          <w:tcPr>
            <w:tcW w:type="dxa" w:w="1440"/>
            <w:shd w:fill="183B56"/>
            <w:vAlign w:val="center"/>
            <w:tcMar>
              <w:top w:w="80" w:type="dxa"/>
              <w:start w:w="90" w:type="dxa"/>
              <w:bottom w:w="80" w:type="dxa"/>
              <w:end w:w="90" w:type="dxa"/>
            </w:tcMar>
          </w:tcPr>
          <w:p>
            <w:pPr>
              <w:spacing w:after="0" w:line="240" w:lineRule="auto"/>
              <w:jc w:val="center"/>
            </w:pPr>
            <w:r/>
            <w:r>
              <w:rPr>
                <w:rFonts w:ascii="Aptos" w:hAnsi="Aptos"/>
                <w:b/>
                <w:color w:val="FFFFFF"/>
                <w:sz w:val="14"/>
              </w:rPr>
              <w:t>Utilities</w:t>
            </w:r>
          </w:p>
        </w:tc>
        <w:tc>
          <w:tcPr>
            <w:tcW w:type="dxa" w:w="1656"/>
            <w:shd w:fill="183B56"/>
            <w:vAlign w:val="center"/>
            <w:tcMar>
              <w:top w:w="80" w:type="dxa"/>
              <w:start w:w="90" w:type="dxa"/>
              <w:bottom w:w="80" w:type="dxa"/>
              <w:end w:w="90" w:type="dxa"/>
            </w:tcMar>
          </w:tcPr>
          <w:p>
            <w:pPr>
              <w:spacing w:after="0" w:line="240" w:lineRule="auto"/>
              <w:jc w:val="center"/>
            </w:pPr>
            <w:r/>
            <w:r>
              <w:rPr>
                <w:rFonts w:ascii="Aptos" w:hAnsi="Aptos"/>
                <w:b/>
                <w:color w:val="FFFFFF"/>
                <w:sz w:val="14"/>
              </w:rPr>
              <w:t>Technology / Data</w:t>
            </w:r>
          </w:p>
        </w:tc>
        <w:tc>
          <w:tcPr>
            <w:tcW w:type="dxa" w:w="1512"/>
            <w:shd w:fill="183B56"/>
            <w:vAlign w:val="center"/>
            <w:tcMar>
              <w:top w:w="80" w:type="dxa"/>
              <w:start w:w="90" w:type="dxa"/>
              <w:bottom w:w="80" w:type="dxa"/>
              <w:end w:w="90" w:type="dxa"/>
            </w:tcMar>
          </w:tcPr>
          <w:p>
            <w:pPr>
              <w:spacing w:after="0" w:line="240" w:lineRule="auto"/>
              <w:jc w:val="center"/>
            </w:pPr>
            <w:r/>
            <w:r>
              <w:rPr>
                <w:rFonts w:ascii="Aptos" w:hAnsi="Aptos"/>
                <w:b/>
                <w:color w:val="FFFFFF"/>
                <w:sz w:val="14"/>
              </w:rPr>
              <w:t>Suppliers</w:t>
            </w:r>
          </w:p>
        </w:tc>
        <w:tc>
          <w:tcPr>
            <w:tcW w:type="dxa" w:w="1512"/>
            <w:shd w:fill="183B56"/>
            <w:vAlign w:val="center"/>
            <w:tcMar>
              <w:top w:w="80" w:type="dxa"/>
              <w:start w:w="90" w:type="dxa"/>
              <w:bottom w:w="80" w:type="dxa"/>
              <w:end w:w="90" w:type="dxa"/>
            </w:tcMar>
          </w:tcPr>
          <w:p>
            <w:pPr>
              <w:spacing w:after="0" w:line="240" w:lineRule="auto"/>
              <w:jc w:val="center"/>
            </w:pPr>
            <w:r/>
            <w:r>
              <w:rPr>
                <w:rFonts w:ascii="Aptos" w:hAnsi="Aptos"/>
                <w:b/>
                <w:color w:val="FFFFFF"/>
                <w:sz w:val="14"/>
              </w:rPr>
              <w:t>Transport / Shipping</w:t>
            </w:r>
          </w:p>
        </w:tc>
        <w:tc>
          <w:tcPr>
            <w:tcW w:type="dxa" w:w="1440"/>
            <w:shd w:fill="183B56"/>
            <w:vAlign w:val="center"/>
            <w:tcMar>
              <w:top w:w="80" w:type="dxa"/>
              <w:start w:w="90" w:type="dxa"/>
              <w:bottom w:w="80" w:type="dxa"/>
              <w:end w:w="90" w:type="dxa"/>
            </w:tcMar>
          </w:tcPr>
          <w:p>
            <w:pPr>
              <w:spacing w:after="0" w:line="240" w:lineRule="auto"/>
              <w:jc w:val="center"/>
            </w:pPr>
            <w:r/>
            <w:r>
              <w:rPr>
                <w:rFonts w:ascii="Aptos" w:hAnsi="Aptos"/>
                <w:b/>
                <w:color w:val="FFFFFF"/>
                <w:sz w:val="14"/>
              </w:rPr>
              <w:t>Finance / Banking</w:t>
            </w:r>
          </w:p>
        </w:tc>
        <w:tc>
          <w:tcPr>
            <w:tcW w:type="dxa" w:w="1440"/>
            <w:shd w:fill="183B56"/>
            <w:vAlign w:val="center"/>
            <w:tcMar>
              <w:top w:w="80" w:type="dxa"/>
              <w:start w:w="90" w:type="dxa"/>
              <w:bottom w:w="80" w:type="dxa"/>
              <w:end w:w="90" w:type="dxa"/>
            </w:tcMar>
          </w:tcPr>
          <w:p>
            <w:pPr>
              <w:spacing w:after="0" w:line="240" w:lineRule="auto"/>
              <w:jc w:val="center"/>
            </w:pPr>
            <w:r/>
            <w:r>
              <w:rPr>
                <w:rFonts w:ascii="Aptos" w:hAnsi="Aptos"/>
                <w:b/>
                <w:color w:val="FFFFFF"/>
                <w:sz w:val="14"/>
              </w:rPr>
              <w:t>External Services</w:t>
            </w:r>
          </w:p>
        </w:tc>
      </w:tr>
      <w:tr>
        <w:trPr>
          <w:cantSplit/>
        </w:trPr>
        <w:tc>
          <w:tcPr>
            <w:tcW w:type="dxa" w:w="1800"/>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1512"/>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1656"/>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1440"/>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1656"/>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1512"/>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1512"/>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1440"/>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1440"/>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r>
      <w:tr>
        <w:trPr>
          <w:cantSplit/>
        </w:trPr>
        <w:tc>
          <w:tcPr>
            <w:tcW w:type="dxa" w:w="1800"/>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1512"/>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1656"/>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1440"/>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1656"/>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1512"/>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1512"/>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1440"/>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1440"/>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r>
      <w:tr>
        <w:trPr>
          <w:cantSplit/>
        </w:trPr>
        <w:tc>
          <w:tcPr>
            <w:tcW w:type="dxa" w:w="1800"/>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1512"/>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1656"/>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1440"/>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1656"/>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1512"/>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1512"/>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1440"/>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1440"/>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r>
      <w:tr>
        <w:trPr>
          <w:cantSplit/>
        </w:trPr>
        <w:tc>
          <w:tcPr>
            <w:tcW w:type="dxa" w:w="1800"/>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1512"/>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1656"/>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1440"/>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1656"/>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1512"/>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1512"/>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1440"/>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c>
          <w:tcPr>
            <w:tcW w:type="dxa" w:w="1440"/>
            <w:shd w:fill="FFFFFF"/>
            <w:vAlign w:val="center"/>
            <w:tcMar>
              <w:top w:w="80" w:type="dxa"/>
              <w:start w:w="90" w:type="dxa"/>
              <w:bottom w:w="80" w:type="dxa"/>
              <w:end w:w="90" w:type="dxa"/>
            </w:tcMar>
          </w:tcPr>
          <w:p>
            <w:pPr>
              <w:spacing w:after="0" w:line="240" w:lineRule="auto"/>
              <w:jc w:val="left"/>
            </w:pPr>
            <w:r/>
            <w:r>
              <w:rPr>
                <w:rFonts w:ascii="Aptos" w:hAnsi="Aptos"/>
                <w:b w:val="0"/>
                <w:color w:val="23333D"/>
                <w:sz w:val="16"/>
              </w:rPr>
              <w:br/>
              <w:br/>
            </w:r>
          </w:p>
        </w:tc>
      </w:tr>
    </w:tbl>
    <w:p>
      <w:pPr>
        <w:pStyle w:val="SectionHead"/>
      </w:pPr>
      <w:r>
        <w:t>Questions to ask as you complete the map</w:t>
      </w:r>
    </w:p>
    <w:tbl>
      <w:tblPr>
        <w:tblW w:type="auto" w:w="0"/>
        <w:jc w:val="center"/>
        <w:tblLayout w:type="fixed"/>
        <w:tblLook w:firstColumn="1" w:firstRow="1" w:lastColumn="0" w:lastRow="0" w:noHBand="0" w:noVBand="1" w:val="04A0"/>
      </w:tblPr>
      <w:tblGrid>
        <w:gridCol w:w="3600"/>
        <w:gridCol w:w="3600"/>
        <w:gridCol w:w="3600"/>
        <w:gridCol w:w="3600"/>
      </w:tblGrid>
      <w:tr>
        <w:trPr>
          <w:cantSplit/>
        </w:trPr>
        <w:tc>
          <w:tcPr>
            <w:tcW w:type="dxa" w:w="3456"/>
            <w:shd w:fill="F6F8F9"/>
            <w:tcMar>
              <w:top w:w="90" w:type="dxa"/>
              <w:start w:w="100" w:type="dxa"/>
              <w:bottom w:w="90" w:type="dxa"/>
              <w:end w:w="100" w:type="dxa"/>
            </w:tcMar>
          </w:tcPr>
          <w:p>
            <w:pPr>
              <w:spacing w:after="0"/>
            </w:pPr>
            <w:r/>
            <w:r>
              <w:rPr>
                <w:rFonts w:ascii="Aptos" w:hAnsi="Aptos"/>
                <w:b/>
                <w:color w:val="2B6F73"/>
                <w:sz w:val="16"/>
              </w:rPr>
              <w:t>People</w:t>
              <w:br/>
            </w:r>
            <w:r>
              <w:rPr>
                <w:rFonts w:ascii="Aptos" w:hAnsi="Aptos"/>
                <w:color w:val="23333D"/>
                <w:sz w:val="14"/>
              </w:rPr>
              <w:t>Is one person the only person who knows a critical process, has access, controls a key relationship or holds sole authority?</w:t>
            </w:r>
          </w:p>
        </w:tc>
        <w:tc>
          <w:tcPr>
            <w:tcW w:type="dxa" w:w="3456"/>
            <w:shd w:fill="F6F8F9"/>
            <w:tcMar>
              <w:top w:w="90" w:type="dxa"/>
              <w:start w:w="100" w:type="dxa"/>
              <w:bottom w:w="90" w:type="dxa"/>
              <w:end w:w="100" w:type="dxa"/>
            </w:tcMar>
          </w:tcPr>
          <w:p>
            <w:pPr>
              <w:spacing w:after="0"/>
            </w:pPr>
            <w:r/>
            <w:r>
              <w:rPr>
                <w:rFonts w:ascii="Aptos" w:hAnsi="Aptos"/>
                <w:b/>
                <w:color w:val="2B6F73"/>
                <w:sz w:val="16"/>
              </w:rPr>
              <w:t>Premises</w:t>
              <w:br/>
            </w:r>
            <w:r>
              <w:rPr>
                <w:rFonts w:ascii="Aptos" w:hAnsi="Aptos"/>
                <w:color w:val="23333D"/>
                <w:sz w:val="14"/>
              </w:rPr>
              <w:t>Could the function operate elsewhere, remotely or at reduced capacity? Is an alternative actually arranged?</w:t>
            </w:r>
          </w:p>
        </w:tc>
        <w:tc>
          <w:tcPr>
            <w:tcW w:type="dxa" w:w="3456"/>
            <w:shd w:fill="F6F8F9"/>
            <w:tcMar>
              <w:top w:w="90" w:type="dxa"/>
              <w:start w:w="100" w:type="dxa"/>
              <w:bottom w:w="90" w:type="dxa"/>
              <w:end w:w="100" w:type="dxa"/>
            </w:tcMar>
          </w:tcPr>
          <w:p>
            <w:pPr>
              <w:spacing w:after="0"/>
            </w:pPr>
            <w:r/>
            <w:r>
              <w:rPr>
                <w:rFonts w:ascii="Aptos" w:hAnsi="Aptos"/>
                <w:b/>
                <w:color w:val="2B6F73"/>
                <w:sz w:val="16"/>
              </w:rPr>
              <w:t>Utilities / Technology</w:t>
              <w:br/>
            </w:r>
            <w:r>
              <w:rPr>
                <w:rFonts w:ascii="Aptos" w:hAnsi="Aptos"/>
                <w:color w:val="23333D"/>
                <w:sz w:val="14"/>
              </w:rPr>
              <w:t>How long could the function operate without power, Internet, mobile service, systems or records? Are backups accessible?</w:t>
            </w:r>
          </w:p>
        </w:tc>
        <w:tc>
          <w:tcPr>
            <w:tcW w:type="dxa" w:w="3456"/>
            <w:shd w:fill="F6F8F9"/>
            <w:tcMar>
              <w:top w:w="90" w:type="dxa"/>
              <w:start w:w="100" w:type="dxa"/>
              <w:bottom w:w="90" w:type="dxa"/>
              <w:end w:w="100" w:type="dxa"/>
            </w:tcMar>
          </w:tcPr>
          <w:p>
            <w:pPr>
              <w:spacing w:after="0"/>
            </w:pPr>
            <w:r/>
            <w:r>
              <w:rPr>
                <w:rFonts w:ascii="Aptos" w:hAnsi="Aptos"/>
                <w:b/>
                <w:color w:val="2B6F73"/>
                <w:sz w:val="16"/>
              </w:rPr>
              <w:t>Suppliers / Transport</w:t>
              <w:br/>
            </w:r>
            <w:r>
              <w:rPr>
                <w:rFonts w:ascii="Aptos" w:hAnsi="Aptos"/>
                <w:color w:val="23333D"/>
                <w:sz w:val="14"/>
              </w:rPr>
              <w:t>Does the alternative supplier depend on the same port, airport, shipping route, fuel source or other vulnerable link?</w:t>
            </w:r>
          </w:p>
        </w:tc>
      </w:tr>
      <w:tr>
        <w:trPr>
          <w:cantSplit/>
        </w:trPr>
        <w:tc>
          <w:tcPr>
            <w:tcW w:type="dxa" w:w="3456"/>
            <w:shd w:fill="F6F8F9"/>
            <w:tcMar>
              <w:top w:w="90" w:type="dxa"/>
              <w:start w:w="100" w:type="dxa"/>
              <w:bottom w:w="90" w:type="dxa"/>
              <w:end w:w="100" w:type="dxa"/>
            </w:tcMar>
          </w:tcPr>
          <w:p>
            <w:pPr>
              <w:spacing w:after="0"/>
            </w:pPr>
            <w:r/>
            <w:r>
              <w:rPr>
                <w:rFonts w:ascii="Aptos" w:hAnsi="Aptos"/>
                <w:b/>
                <w:color w:val="2B6F73"/>
                <w:sz w:val="16"/>
              </w:rPr>
              <w:t>Finance / Banking</w:t>
              <w:br/>
            </w:r>
            <w:r>
              <w:rPr>
                <w:rFonts w:ascii="Aptos" w:hAnsi="Aptos"/>
                <w:color w:val="23333D"/>
                <w:sz w:val="14"/>
              </w:rPr>
              <w:t>Can customers pay us? Can payroll and critical suppliers be paid? Can authorized personnel access banking?</w:t>
            </w:r>
          </w:p>
        </w:tc>
        <w:tc>
          <w:tcPr>
            <w:tcW w:type="dxa" w:w="3456"/>
            <w:shd w:fill="F6F8F9"/>
            <w:tcMar>
              <w:top w:w="90" w:type="dxa"/>
              <w:start w:w="100" w:type="dxa"/>
              <w:bottom w:w="90" w:type="dxa"/>
              <w:end w:w="100" w:type="dxa"/>
            </w:tcMar>
          </w:tcPr>
          <w:p>
            <w:pPr>
              <w:spacing w:after="0"/>
            </w:pPr>
            <w:r/>
            <w:r>
              <w:rPr>
                <w:rFonts w:ascii="Aptos" w:hAnsi="Aptos"/>
                <w:b/>
                <w:color w:val="2B6F73"/>
                <w:sz w:val="16"/>
              </w:rPr>
              <w:t>External Services</w:t>
              <w:br/>
            </w:r>
            <w:r>
              <w:rPr>
                <w:rFonts w:ascii="Aptos" w:hAnsi="Aptos"/>
                <w:color w:val="23333D"/>
                <w:sz w:val="14"/>
              </w:rPr>
              <w:t>Which outside provider, regulator, landlord, partner or service must be available for this function to continue?</w:t>
            </w:r>
          </w:p>
        </w:tc>
        <w:tc>
          <w:tcPr>
            <w:tcW w:type="dxa" w:w="3456"/>
            <w:shd w:fill="F6F8F9"/>
            <w:tcMar>
              <w:top w:w="90" w:type="dxa"/>
              <w:start w:w="100" w:type="dxa"/>
              <w:bottom w:w="90" w:type="dxa"/>
              <w:end w:w="100" w:type="dxa"/>
            </w:tcMar>
          </w:tcPr>
          <w:p>
            <w:pPr>
              <w:spacing w:after="0"/>
            </w:pPr>
            <w:r/>
            <w:r>
              <w:rPr>
                <w:rFonts w:ascii="Aptos" w:hAnsi="Aptos"/>
                <w:b/>
                <w:color w:val="2B6F73"/>
                <w:sz w:val="16"/>
              </w:rPr>
              <w:t>Independence</w:t>
              <w:br/>
            </w:r>
            <w:r>
              <w:rPr>
                <w:rFonts w:ascii="Aptos" w:hAnsi="Aptos"/>
                <w:color w:val="23333D"/>
                <w:sz w:val="14"/>
              </w:rPr>
              <w:t>Is the backup genuinely independent, or could the same disruption disable both the primary and the alternative?</w:t>
            </w:r>
          </w:p>
        </w:tc>
        <w:tc>
          <w:tcPr>
            <w:tcW w:type="dxa" w:w="3456"/>
            <w:shd w:fill="F6F8F9"/>
            <w:tcMar>
              <w:top w:w="90" w:type="dxa"/>
              <w:start w:w="100" w:type="dxa"/>
              <w:bottom w:w="90" w:type="dxa"/>
              <w:end w:w="100" w:type="dxa"/>
            </w:tcMar>
          </w:tcPr>
          <w:p>
            <w:pPr>
              <w:spacing w:after="0"/>
            </w:pPr>
            <w:r/>
            <w:r>
              <w:rPr>
                <w:rFonts w:ascii="Aptos" w:hAnsi="Aptos"/>
                <w:b/>
                <w:color w:val="2B6F73"/>
                <w:sz w:val="16"/>
              </w:rPr>
              <w:t>Access</w:t>
              <w:br/>
            </w:r>
            <w:r>
              <w:rPr>
                <w:rFonts w:ascii="Aptos" w:hAnsi="Aptos"/>
                <w:color w:val="23333D"/>
                <w:sz w:val="14"/>
              </w:rPr>
              <w:t>Can the people who need the alternative actually access, activate and use it during a disruption?</w:t>
            </w:r>
          </w:p>
        </w:tc>
      </w:tr>
    </w:tbl>
    <w:p>
      <w:r>
        <w:br w:type="page"/>
      </w:r>
    </w:p>
    <w:p>
      <w:pPr>
        <w:pStyle w:val="SectionHead"/>
      </w:pPr>
      <w:r>
        <w:t>2. Single Points of Failure</w:t>
      </w:r>
    </w:p>
    <w:p>
      <w:r>
        <w:t>Review the Dependency Map. Record any dependency whose failure could stop a critical function because no suitable alternative exists today.</w:t>
      </w:r>
    </w:p>
    <w:tbl>
      <w:tblPr>
        <w:tblW w:type="auto" w:w="0"/>
        <w:jc w:val="center"/>
        <w:tblLayout w:type="fixed"/>
        <w:tblLook w:firstColumn="1" w:firstRow="1" w:lastColumn="0" w:lastRow="0" w:noHBand="0" w:noVBand="1" w:val="04A0"/>
        <w:tblBorders>
          <w:top w:val="single" w:sz="6" w:space="0" w:color="CCD7DC"/>
          <w:left w:val="single" w:sz="6" w:space="0" w:color="CCD7DC"/>
          <w:bottom w:val="single" w:sz="6" w:space="0" w:color="CCD7DC"/>
          <w:right w:val="single" w:sz="6" w:space="0" w:color="CCD7DC"/>
          <w:insideH w:val="single" w:sz="6" w:space="0" w:color="CCD7DC"/>
          <w:insideV w:val="single" w:sz="6" w:space="0" w:color="CCD7DC"/>
        </w:tblBorders>
      </w:tblPr>
      <w:tblGrid>
        <w:gridCol w:w="3600"/>
        <w:gridCol w:w="3600"/>
        <w:gridCol w:w="3600"/>
        <w:gridCol w:w="3600"/>
      </w:tblGrid>
      <w:tr>
        <w:trPr>
          <w:cantSplit/>
        </w:trPr>
        <w:tc>
          <w:tcPr>
            <w:tcW w:type="dxa" w:w="3240"/>
            <w:shd w:fill="183B56"/>
            <w:vAlign w:val="center"/>
            <w:tcMar>
              <w:top w:w="80" w:type="dxa"/>
              <w:start w:w="90" w:type="dxa"/>
              <w:bottom w:w="80" w:type="dxa"/>
              <w:end w:w="90" w:type="dxa"/>
            </w:tcMar>
          </w:tcPr>
          <w:p>
            <w:pPr>
              <w:spacing w:after="0" w:line="240" w:lineRule="auto"/>
              <w:jc w:val="center"/>
            </w:pPr>
            <w:r/>
            <w:r>
              <w:rPr>
                <w:rFonts w:ascii="Aptos" w:hAnsi="Aptos"/>
                <w:b/>
                <w:color w:val="FFFFFF"/>
                <w:sz w:val="15"/>
              </w:rPr>
              <w:t>Single Point of Failure</w:t>
            </w:r>
          </w:p>
        </w:tc>
        <w:tc>
          <w:tcPr>
            <w:tcW w:type="dxa" w:w="3240"/>
            <w:shd w:fill="183B56"/>
            <w:vAlign w:val="center"/>
            <w:tcMar>
              <w:top w:w="80" w:type="dxa"/>
              <w:start w:w="90" w:type="dxa"/>
              <w:bottom w:w="80" w:type="dxa"/>
              <w:end w:w="90" w:type="dxa"/>
            </w:tcMar>
          </w:tcPr>
          <w:p>
            <w:pPr>
              <w:spacing w:after="0" w:line="240" w:lineRule="auto"/>
              <w:jc w:val="center"/>
            </w:pPr>
            <w:r/>
            <w:r>
              <w:rPr>
                <w:rFonts w:ascii="Aptos" w:hAnsi="Aptos"/>
                <w:b/>
                <w:color w:val="FFFFFF"/>
                <w:sz w:val="15"/>
              </w:rPr>
              <w:t>Critical Function Threatened</w:t>
            </w:r>
          </w:p>
        </w:tc>
        <w:tc>
          <w:tcPr>
            <w:tcW w:type="dxa" w:w="5040"/>
            <w:shd w:fill="183B56"/>
            <w:vAlign w:val="center"/>
            <w:tcMar>
              <w:top w:w="80" w:type="dxa"/>
              <w:start w:w="90" w:type="dxa"/>
              <w:bottom w:w="80" w:type="dxa"/>
              <w:end w:w="90" w:type="dxa"/>
            </w:tcMar>
          </w:tcPr>
          <w:p>
            <w:pPr>
              <w:spacing w:after="0" w:line="240" w:lineRule="auto"/>
              <w:jc w:val="center"/>
            </w:pPr>
            <w:r/>
            <w:r>
              <w:rPr>
                <w:rFonts w:ascii="Aptos" w:hAnsi="Aptos"/>
                <w:b/>
                <w:color w:val="FFFFFF"/>
                <w:sz w:val="15"/>
              </w:rPr>
              <w:t>What Happens if It Fails?</w:t>
            </w:r>
          </w:p>
        </w:tc>
        <w:tc>
          <w:tcPr>
            <w:tcW w:type="dxa" w:w="2376"/>
            <w:shd w:fill="183B56"/>
            <w:vAlign w:val="center"/>
            <w:tcMar>
              <w:top w:w="80" w:type="dxa"/>
              <w:start w:w="90" w:type="dxa"/>
              <w:bottom w:w="80" w:type="dxa"/>
              <w:end w:w="90" w:type="dxa"/>
            </w:tcMar>
          </w:tcPr>
          <w:p>
            <w:pPr>
              <w:spacing w:after="0" w:line="240" w:lineRule="auto"/>
              <w:jc w:val="center"/>
            </w:pPr>
            <w:r/>
            <w:r>
              <w:rPr>
                <w:rFonts w:ascii="Aptos" w:hAnsi="Aptos"/>
                <w:b/>
                <w:color w:val="FFFFFF"/>
                <w:sz w:val="15"/>
              </w:rPr>
              <w:t>Adequate Alternative Today?</w:t>
            </w:r>
          </w:p>
        </w:tc>
      </w:tr>
      <w:tr>
        <w:trPr>
          <w:cantSplit/>
        </w:trPr>
        <w:tc>
          <w:tcPr>
            <w:tcW w:type="dxa" w:w="3240"/>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c>
          <w:tcPr>
            <w:tcW w:type="dxa" w:w="3240"/>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c>
          <w:tcPr>
            <w:tcW w:type="dxa" w:w="5040"/>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c>
          <w:tcPr>
            <w:tcW w:type="dxa" w:w="2376"/>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r>
      <w:tr>
        <w:trPr>
          <w:cantSplit/>
        </w:trPr>
        <w:tc>
          <w:tcPr>
            <w:tcW w:type="dxa" w:w="3240"/>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c>
          <w:tcPr>
            <w:tcW w:type="dxa" w:w="3240"/>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c>
          <w:tcPr>
            <w:tcW w:type="dxa" w:w="5040"/>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c>
          <w:tcPr>
            <w:tcW w:type="dxa" w:w="2376"/>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r>
      <w:tr>
        <w:trPr>
          <w:cantSplit/>
        </w:trPr>
        <w:tc>
          <w:tcPr>
            <w:tcW w:type="dxa" w:w="3240"/>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c>
          <w:tcPr>
            <w:tcW w:type="dxa" w:w="3240"/>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c>
          <w:tcPr>
            <w:tcW w:type="dxa" w:w="5040"/>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c>
          <w:tcPr>
            <w:tcW w:type="dxa" w:w="2376"/>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r>
    </w:tbl>
    <w:p/>
    <w:p>
      <w:pPr>
        <w:pStyle w:val="SectionHead"/>
      </w:pPr>
      <w:r>
        <w:t>3. Challenge Your Assumptions</w:t>
      </w:r>
    </w:p>
    <w:p>
      <w:r>
        <w:t>Continuity plans are built on assumptions - for example, that employees can reach work, mobile networks will function, suppliers will reopen quickly, fuel will be available, backups will work, roads will be passable, or key employees will be available. Test the assumptions that matter most.</w:t>
      </w:r>
    </w:p>
    <w:tbl>
      <w:tblPr>
        <w:tblW w:type="auto" w:w="0"/>
        <w:jc w:val="center"/>
        <w:tblLayout w:type="fixed"/>
        <w:tblLook w:firstColumn="1" w:firstRow="1" w:lastColumn="0" w:lastRow="0" w:noHBand="0" w:noVBand="1" w:val="04A0"/>
        <w:tblBorders>
          <w:top w:val="single" w:sz="6" w:space="0" w:color="CCD7DC"/>
          <w:left w:val="single" w:sz="6" w:space="0" w:color="CCD7DC"/>
          <w:bottom w:val="single" w:sz="6" w:space="0" w:color="CCD7DC"/>
          <w:right w:val="single" w:sz="6" w:space="0" w:color="CCD7DC"/>
          <w:insideH w:val="single" w:sz="6" w:space="0" w:color="CCD7DC"/>
          <w:insideV w:val="single" w:sz="6" w:space="0" w:color="CCD7DC"/>
        </w:tblBorders>
      </w:tblPr>
      <w:tblGrid>
        <w:gridCol w:w="4800"/>
        <w:gridCol w:w="4800"/>
        <w:gridCol w:w="4800"/>
      </w:tblGrid>
      <w:tr>
        <w:trPr>
          <w:cantSplit/>
        </w:trPr>
        <w:tc>
          <w:tcPr>
            <w:tcW w:type="dxa" w:w="4464"/>
            <w:shd w:fill="183B56"/>
            <w:vAlign w:val="center"/>
            <w:tcMar>
              <w:top w:w="80" w:type="dxa"/>
              <w:start w:w="90" w:type="dxa"/>
              <w:bottom w:w="80" w:type="dxa"/>
              <w:end w:w="90" w:type="dxa"/>
            </w:tcMar>
          </w:tcPr>
          <w:p>
            <w:pPr>
              <w:spacing w:after="0" w:line="240" w:lineRule="auto"/>
              <w:jc w:val="center"/>
            </w:pPr>
            <w:r/>
            <w:r>
              <w:rPr>
                <w:rFonts w:ascii="Aptos" w:hAnsi="Aptos"/>
                <w:b/>
                <w:color w:val="FFFFFF"/>
                <w:sz w:val="16"/>
              </w:rPr>
              <w:t>We Are Assuming That...</w:t>
            </w:r>
          </w:p>
        </w:tc>
        <w:tc>
          <w:tcPr>
            <w:tcW w:type="dxa" w:w="4464"/>
            <w:shd w:fill="183B56"/>
            <w:vAlign w:val="center"/>
            <w:tcMar>
              <w:top w:w="80" w:type="dxa"/>
              <w:start w:w="90" w:type="dxa"/>
              <w:bottom w:w="80" w:type="dxa"/>
              <w:end w:w="90" w:type="dxa"/>
            </w:tcMar>
          </w:tcPr>
          <w:p>
            <w:pPr>
              <w:spacing w:after="0" w:line="240" w:lineRule="auto"/>
              <w:jc w:val="center"/>
            </w:pPr>
            <w:r/>
            <w:r>
              <w:rPr>
                <w:rFonts w:ascii="Aptos" w:hAnsi="Aptos"/>
                <w:b/>
                <w:color w:val="FFFFFF"/>
                <w:sz w:val="16"/>
              </w:rPr>
              <w:t>Why Are We Relying on It?</w:t>
            </w:r>
          </w:p>
        </w:tc>
        <w:tc>
          <w:tcPr>
            <w:tcW w:type="dxa" w:w="5040"/>
            <w:shd w:fill="183B56"/>
            <w:vAlign w:val="center"/>
            <w:tcMar>
              <w:top w:w="80" w:type="dxa"/>
              <w:start w:w="90" w:type="dxa"/>
              <w:bottom w:w="80" w:type="dxa"/>
              <w:end w:w="90" w:type="dxa"/>
            </w:tcMar>
          </w:tcPr>
          <w:p>
            <w:pPr>
              <w:spacing w:after="0" w:line="240" w:lineRule="auto"/>
              <w:jc w:val="center"/>
            </w:pPr>
            <w:r/>
            <w:r>
              <w:rPr>
                <w:rFonts w:ascii="Aptos" w:hAnsi="Aptos"/>
                <w:b/>
                <w:color w:val="FFFFFF"/>
                <w:sz w:val="16"/>
              </w:rPr>
              <w:t>What Happens if It Is Wrong?</w:t>
            </w:r>
          </w:p>
        </w:tc>
      </w:tr>
      <w:tr>
        <w:trPr>
          <w:cantSplit/>
        </w:trPr>
        <w:tc>
          <w:tcPr>
            <w:tcW w:type="dxa" w:w="4464"/>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c>
          <w:tcPr>
            <w:tcW w:type="dxa" w:w="4464"/>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c>
          <w:tcPr>
            <w:tcW w:type="dxa" w:w="5040"/>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r>
      <w:tr>
        <w:trPr>
          <w:cantSplit/>
        </w:trPr>
        <w:tc>
          <w:tcPr>
            <w:tcW w:type="dxa" w:w="4464"/>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c>
          <w:tcPr>
            <w:tcW w:type="dxa" w:w="4464"/>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c>
          <w:tcPr>
            <w:tcW w:type="dxa" w:w="5040"/>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r>
      <w:tr>
        <w:trPr>
          <w:cantSplit/>
        </w:trPr>
        <w:tc>
          <w:tcPr>
            <w:tcW w:type="dxa" w:w="4464"/>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c>
          <w:tcPr>
            <w:tcW w:type="dxa" w:w="4464"/>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c>
          <w:tcPr>
            <w:tcW w:type="dxa" w:w="5040"/>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r>
    </w:tbl>
    <w:p>
      <w:pPr>
        <w:spacing w:before="80" w:after="0"/>
      </w:pPr>
      <w:r>
        <w:rPr>
          <w:b/>
          <w:color w:val="2B6F73"/>
        </w:rPr>
        <w:t xml:space="preserve">Cascading disruption check: </w:t>
      </w:r>
      <w:r>
        <w:rPr>
          <w:color w:val="23333D"/>
          <w:sz w:val="16"/>
        </w:rPr>
        <w:t>Ask what else fails if this dependency fails. One disruption can trigger another - for example: electricity fails -&gt; Internet fails -&gt; payments fail -&gt; revenue falls -&gt; inventory cannot be replenished.</w:t>
      </w:r>
    </w:p>
    <w:p>
      <w:r>
        <w:br w:type="page"/>
      </w:r>
    </w:p>
    <w:p>
      <w:pPr>
        <w:pStyle w:val="SectionHead"/>
      </w:pPr>
      <w:r>
        <w:t>4. Vulnerability Map</w:t>
      </w:r>
    </w:p>
    <w:p>
      <w:r>
        <w:t>Bring the analysis together. For each critical function, identify its most important dependency, the main vulnerability, whether it is a single point of failure, and how concerned you are about the assumption behind it.</w:t>
      </w:r>
    </w:p>
    <w:tbl>
      <w:tblPr>
        <w:tblW w:type="auto" w:w="0"/>
        <w:jc w:val="center"/>
        <w:tblLayout w:type="fixed"/>
        <w:tblLook w:firstColumn="1" w:firstRow="1" w:lastColumn="0" w:lastRow="0" w:noHBand="0" w:noVBand="1" w:val="04A0"/>
        <w:tblBorders>
          <w:top w:val="single" w:sz="6" w:space="0" w:color="CCD7DC"/>
          <w:left w:val="single" w:sz="6" w:space="0" w:color="CCD7DC"/>
          <w:bottom w:val="single" w:sz="6" w:space="0" w:color="CCD7DC"/>
          <w:right w:val="single" w:sz="6" w:space="0" w:color="CCD7DC"/>
          <w:insideH w:val="single" w:sz="6" w:space="0" w:color="CCD7DC"/>
          <w:insideV w:val="single" w:sz="6" w:space="0" w:color="CCD7DC"/>
        </w:tblBorders>
      </w:tblPr>
      <w:tblGrid>
        <w:gridCol w:w="2880"/>
        <w:gridCol w:w="2880"/>
        <w:gridCol w:w="2880"/>
        <w:gridCol w:w="2880"/>
        <w:gridCol w:w="2880"/>
      </w:tblGrid>
      <w:tr>
        <w:trPr>
          <w:cantSplit/>
        </w:trPr>
        <w:tc>
          <w:tcPr>
            <w:tcW w:type="dxa" w:w="3024"/>
            <w:shd w:fill="183B56"/>
            <w:vAlign w:val="center"/>
            <w:tcMar>
              <w:top w:w="80" w:type="dxa"/>
              <w:start w:w="90" w:type="dxa"/>
              <w:bottom w:w="80" w:type="dxa"/>
              <w:end w:w="90" w:type="dxa"/>
            </w:tcMar>
          </w:tcPr>
          <w:p>
            <w:pPr>
              <w:spacing w:after="0" w:line="240" w:lineRule="auto"/>
              <w:jc w:val="center"/>
            </w:pPr>
            <w:r/>
            <w:r>
              <w:rPr>
                <w:rFonts w:ascii="Aptos" w:hAnsi="Aptos"/>
                <w:b/>
                <w:color w:val="FFFFFF"/>
                <w:sz w:val="15"/>
              </w:rPr>
              <w:t>Critical Function</w:t>
            </w:r>
          </w:p>
        </w:tc>
        <w:tc>
          <w:tcPr>
            <w:tcW w:type="dxa" w:w="3168"/>
            <w:shd w:fill="183B56"/>
            <w:vAlign w:val="center"/>
            <w:tcMar>
              <w:top w:w="80" w:type="dxa"/>
              <w:start w:w="90" w:type="dxa"/>
              <w:bottom w:w="80" w:type="dxa"/>
              <w:end w:w="90" w:type="dxa"/>
            </w:tcMar>
          </w:tcPr>
          <w:p>
            <w:pPr>
              <w:spacing w:after="0" w:line="240" w:lineRule="auto"/>
              <w:jc w:val="center"/>
            </w:pPr>
            <w:r/>
            <w:r>
              <w:rPr>
                <w:rFonts w:ascii="Aptos" w:hAnsi="Aptos"/>
                <w:b/>
                <w:color w:val="FFFFFF"/>
                <w:sz w:val="15"/>
              </w:rPr>
              <w:t>Most Important Dependency</w:t>
            </w:r>
          </w:p>
        </w:tc>
        <w:tc>
          <w:tcPr>
            <w:tcW w:type="dxa" w:w="3456"/>
            <w:shd w:fill="183B56"/>
            <w:vAlign w:val="center"/>
            <w:tcMar>
              <w:top w:w="80" w:type="dxa"/>
              <w:start w:w="90" w:type="dxa"/>
              <w:bottom w:w="80" w:type="dxa"/>
              <w:end w:w="90" w:type="dxa"/>
            </w:tcMar>
          </w:tcPr>
          <w:p>
            <w:pPr>
              <w:spacing w:after="0" w:line="240" w:lineRule="auto"/>
              <w:jc w:val="center"/>
            </w:pPr>
            <w:r/>
            <w:r>
              <w:rPr>
                <w:rFonts w:ascii="Aptos" w:hAnsi="Aptos"/>
                <w:b/>
                <w:color w:val="FFFFFF"/>
                <w:sz w:val="15"/>
              </w:rPr>
              <w:t>Main Vulnerability</w:t>
            </w:r>
          </w:p>
        </w:tc>
        <w:tc>
          <w:tcPr>
            <w:tcW w:type="dxa" w:w="2088"/>
            <w:shd w:fill="183B56"/>
            <w:vAlign w:val="center"/>
            <w:tcMar>
              <w:top w:w="80" w:type="dxa"/>
              <w:start w:w="90" w:type="dxa"/>
              <w:bottom w:w="80" w:type="dxa"/>
              <w:end w:w="90" w:type="dxa"/>
            </w:tcMar>
          </w:tcPr>
          <w:p>
            <w:pPr>
              <w:spacing w:after="0" w:line="240" w:lineRule="auto"/>
              <w:jc w:val="center"/>
            </w:pPr>
            <w:r/>
            <w:r>
              <w:rPr>
                <w:rFonts w:ascii="Aptos" w:hAnsi="Aptos"/>
                <w:b/>
                <w:color w:val="FFFFFF"/>
                <w:sz w:val="15"/>
              </w:rPr>
              <w:t>Single Point of Failure?</w:t>
            </w:r>
          </w:p>
        </w:tc>
        <w:tc>
          <w:tcPr>
            <w:tcW w:type="dxa" w:w="2232"/>
            <w:shd w:fill="183B56"/>
            <w:vAlign w:val="center"/>
            <w:tcMar>
              <w:top w:w="80" w:type="dxa"/>
              <w:start w:w="90" w:type="dxa"/>
              <w:bottom w:w="80" w:type="dxa"/>
              <w:end w:w="90" w:type="dxa"/>
            </w:tcMar>
          </w:tcPr>
          <w:p>
            <w:pPr>
              <w:spacing w:after="0" w:line="240" w:lineRule="auto"/>
              <w:jc w:val="center"/>
            </w:pPr>
            <w:r/>
            <w:r>
              <w:rPr>
                <w:rFonts w:ascii="Aptos" w:hAnsi="Aptos"/>
                <w:b/>
                <w:color w:val="FFFFFF"/>
                <w:sz w:val="15"/>
              </w:rPr>
              <w:t>Assumption Concern H / M / L</w:t>
            </w:r>
          </w:p>
        </w:tc>
      </w:tr>
      <w:tr>
        <w:trPr>
          <w:cantSplit/>
        </w:trPr>
        <w:tc>
          <w:tcPr>
            <w:tcW w:type="dxa" w:w="3024"/>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c>
          <w:tcPr>
            <w:tcW w:type="dxa" w:w="3168"/>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c>
          <w:tcPr>
            <w:tcW w:type="dxa" w:w="3456"/>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c>
          <w:tcPr>
            <w:tcW w:type="dxa" w:w="2088"/>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c>
          <w:tcPr>
            <w:tcW w:type="dxa" w:w="2232"/>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r>
      <w:tr>
        <w:trPr>
          <w:cantSplit/>
        </w:trPr>
        <w:tc>
          <w:tcPr>
            <w:tcW w:type="dxa" w:w="3024"/>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c>
          <w:tcPr>
            <w:tcW w:type="dxa" w:w="3168"/>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c>
          <w:tcPr>
            <w:tcW w:type="dxa" w:w="3456"/>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c>
          <w:tcPr>
            <w:tcW w:type="dxa" w:w="2088"/>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c>
          <w:tcPr>
            <w:tcW w:type="dxa" w:w="2232"/>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r>
      <w:tr>
        <w:trPr>
          <w:cantSplit/>
        </w:trPr>
        <w:tc>
          <w:tcPr>
            <w:tcW w:type="dxa" w:w="3024"/>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c>
          <w:tcPr>
            <w:tcW w:type="dxa" w:w="3168"/>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c>
          <w:tcPr>
            <w:tcW w:type="dxa" w:w="3456"/>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c>
          <w:tcPr>
            <w:tcW w:type="dxa" w:w="2088"/>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c>
          <w:tcPr>
            <w:tcW w:type="dxa" w:w="2232"/>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r>
      <w:tr>
        <w:trPr>
          <w:cantSplit/>
        </w:trPr>
        <w:tc>
          <w:tcPr>
            <w:tcW w:type="dxa" w:w="3024"/>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c>
          <w:tcPr>
            <w:tcW w:type="dxa" w:w="3168"/>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c>
          <w:tcPr>
            <w:tcW w:type="dxa" w:w="3456"/>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c>
          <w:tcPr>
            <w:tcW w:type="dxa" w:w="2088"/>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c>
          <w:tcPr>
            <w:tcW w:type="dxa" w:w="2232"/>
            <w:vAlign w:val="center"/>
            <w:tcMar>
              <w:top w:w="80" w:type="dxa"/>
              <w:start w:w="90" w:type="dxa"/>
              <w:bottom w:w="80" w:type="dxa"/>
              <w:end w:w="90" w:type="dxa"/>
            </w:tcMar>
          </w:tcPr>
          <w:p>
            <w:pPr>
              <w:spacing w:after="0" w:line="240" w:lineRule="auto"/>
              <w:jc w:val="left"/>
            </w:pPr>
            <w:r/>
            <w:r>
              <w:rPr>
                <w:rFonts w:ascii="Aptos" w:hAnsi="Aptos"/>
                <w:b w:val="0"/>
                <w:color w:val="23333D"/>
                <w:sz w:val="16"/>
              </w:rPr>
              <w:br/>
            </w:r>
          </w:p>
        </w:tc>
      </w:tr>
    </w:tbl>
    <w:p/>
    <w:p>
      <w:pPr>
        <w:pStyle w:val="SectionHead"/>
      </w:pPr>
      <w:r>
        <w:t>Priority vulnerabilities to address</w:t>
      </w:r>
    </w:p>
    <w:tbl>
      <w:tblPr>
        <w:tblW w:type="auto" w:w="0"/>
        <w:jc w:val="center"/>
        <w:tblLayout w:type="fixed"/>
        <w:tblLook w:firstColumn="1" w:firstRow="1" w:lastColumn="0" w:lastRow="0" w:noHBand="0" w:noVBand="1" w:val="04A0"/>
      </w:tblPr>
      <w:tblGrid>
        <w:gridCol w:w="4800"/>
        <w:gridCol w:w="4800"/>
        <w:gridCol w:w="4800"/>
      </w:tblGrid>
      <w:tr>
        <w:trPr>
          <w:cantSplit/>
        </w:trPr>
        <w:tc>
          <w:tcPr>
            <w:tcW w:type="dxa" w:w="4608"/>
            <w:shd w:fill="F6F8F9"/>
            <w:vAlign w:val="center"/>
            <w:tcMar>
              <w:top w:w="80" w:type="dxa"/>
              <w:start w:w="90" w:type="dxa"/>
              <w:bottom w:w="80" w:type="dxa"/>
              <w:end w:w="90" w:type="dxa"/>
            </w:tcMar>
          </w:tcPr>
          <w:p>
            <w:pPr>
              <w:spacing w:after="0" w:line="240" w:lineRule="auto"/>
              <w:jc w:val="left"/>
            </w:pPr>
            <w:r/>
            <w:r>
              <w:rPr>
                <w:rFonts w:ascii="Aptos" w:hAnsi="Aptos"/>
                <w:b w:val="0"/>
                <w:color w:val="23333D"/>
                <w:sz w:val="16"/>
              </w:rPr>
              <w:t>Priority 1</w:t>
              <w:br/>
              <w:t>Vulnerability:</w:t>
              <w:br/>
              <w:t>Critical function affected:</w:t>
              <w:br/>
              <w:t>Why it matters:</w:t>
              <w:br/>
            </w:r>
          </w:p>
        </w:tc>
        <w:tc>
          <w:tcPr>
            <w:tcW w:type="dxa" w:w="4608"/>
            <w:shd w:fill="F6F8F9"/>
            <w:vAlign w:val="center"/>
            <w:tcMar>
              <w:top w:w="80" w:type="dxa"/>
              <w:start w:w="90" w:type="dxa"/>
              <w:bottom w:w="80" w:type="dxa"/>
              <w:end w:w="90" w:type="dxa"/>
            </w:tcMar>
          </w:tcPr>
          <w:p>
            <w:pPr>
              <w:spacing w:after="0" w:line="240" w:lineRule="auto"/>
              <w:jc w:val="left"/>
            </w:pPr>
            <w:r/>
            <w:r>
              <w:rPr>
                <w:rFonts w:ascii="Aptos" w:hAnsi="Aptos"/>
                <w:b w:val="0"/>
                <w:color w:val="23333D"/>
                <w:sz w:val="16"/>
              </w:rPr>
              <w:t>Priority 2</w:t>
              <w:br/>
              <w:t>Vulnerability:</w:t>
              <w:br/>
              <w:t>Critical function affected:</w:t>
              <w:br/>
              <w:t>Why it matters:</w:t>
              <w:br/>
            </w:r>
          </w:p>
        </w:tc>
        <w:tc>
          <w:tcPr>
            <w:tcW w:type="dxa" w:w="4608"/>
            <w:shd w:fill="F6F8F9"/>
            <w:vAlign w:val="center"/>
            <w:tcMar>
              <w:top w:w="80" w:type="dxa"/>
              <w:start w:w="90" w:type="dxa"/>
              <w:bottom w:w="80" w:type="dxa"/>
              <w:end w:w="90" w:type="dxa"/>
            </w:tcMar>
          </w:tcPr>
          <w:p>
            <w:pPr>
              <w:spacing w:after="0" w:line="240" w:lineRule="auto"/>
              <w:jc w:val="left"/>
            </w:pPr>
            <w:r/>
            <w:r>
              <w:rPr>
                <w:rFonts w:ascii="Aptos" w:hAnsi="Aptos"/>
                <w:b w:val="0"/>
                <w:color w:val="23333D"/>
                <w:sz w:val="16"/>
              </w:rPr>
              <w:t>Priority 3</w:t>
              <w:br/>
              <w:t>Vulnerability:</w:t>
              <w:br/>
              <w:t>Critical function affected:</w:t>
              <w:br/>
              <w:t>Why it matters:</w:t>
              <w:br/>
            </w:r>
          </w:p>
        </w:tc>
      </w:tr>
      <w:tr>
        <w:trPr>
          <w:cantSplit/>
        </w:trPr>
        <w:tc>
          <w:tcPr>
            <w:tcW w:type="dxa" w:w="4608"/>
            <w:shd w:fill="EAF1F4"/>
            <w:vAlign w:val="center"/>
            <w:tcMar>
              <w:top w:w="80" w:type="dxa"/>
              <w:start w:w="90" w:type="dxa"/>
              <w:bottom w:w="80" w:type="dxa"/>
              <w:end w:w="90" w:type="dxa"/>
            </w:tcMar>
          </w:tcPr>
          <w:p>
            <w:pPr>
              <w:spacing w:after="0" w:line="240" w:lineRule="auto"/>
              <w:jc w:val="left"/>
            </w:pPr>
            <w:r/>
            <w:r>
              <w:rPr>
                <w:rFonts w:ascii="Aptos" w:hAnsi="Aptos"/>
                <w:b w:val="0"/>
                <w:color w:val="23333D"/>
                <w:sz w:val="16"/>
              </w:rPr>
              <w:t>Immediate next step:</w:t>
              <w:br/>
              <w:t>Owner:</w:t>
              <w:br/>
              <w:t>Target date:</w:t>
              <w:br/>
            </w:r>
          </w:p>
        </w:tc>
        <w:tc>
          <w:tcPr>
            <w:tcW w:type="dxa" w:w="4608"/>
            <w:shd w:fill="EAF1F4"/>
            <w:vAlign w:val="center"/>
            <w:tcMar>
              <w:top w:w="80" w:type="dxa"/>
              <w:start w:w="90" w:type="dxa"/>
              <w:bottom w:w="80" w:type="dxa"/>
              <w:end w:w="90" w:type="dxa"/>
            </w:tcMar>
          </w:tcPr>
          <w:p>
            <w:pPr>
              <w:spacing w:after="0" w:line="240" w:lineRule="auto"/>
              <w:jc w:val="left"/>
            </w:pPr>
            <w:r/>
            <w:r>
              <w:rPr>
                <w:rFonts w:ascii="Aptos" w:hAnsi="Aptos"/>
                <w:b w:val="0"/>
                <w:color w:val="23333D"/>
                <w:sz w:val="16"/>
              </w:rPr>
              <w:t>Immediate next step:</w:t>
              <w:br/>
              <w:t>Owner:</w:t>
              <w:br/>
              <w:t>Target date:</w:t>
              <w:br/>
            </w:r>
          </w:p>
        </w:tc>
        <w:tc>
          <w:tcPr>
            <w:tcW w:type="dxa" w:w="4608"/>
            <w:shd w:fill="EAF1F4"/>
            <w:vAlign w:val="center"/>
            <w:tcMar>
              <w:top w:w="80" w:type="dxa"/>
              <w:start w:w="90" w:type="dxa"/>
              <w:bottom w:w="80" w:type="dxa"/>
              <w:end w:w="90" w:type="dxa"/>
            </w:tcMar>
          </w:tcPr>
          <w:p>
            <w:pPr>
              <w:spacing w:after="0" w:line="240" w:lineRule="auto"/>
              <w:jc w:val="left"/>
            </w:pPr>
            <w:r/>
            <w:r>
              <w:rPr>
                <w:rFonts w:ascii="Aptos" w:hAnsi="Aptos"/>
                <w:b w:val="0"/>
                <w:color w:val="23333D"/>
                <w:sz w:val="16"/>
              </w:rPr>
              <w:t>Immediate next step:</w:t>
              <w:br/>
              <w:t>Owner:</w:t>
              <w:br/>
              <w:t>Target date:</w:t>
              <w:br/>
            </w:r>
          </w:p>
        </w:tc>
      </w:tr>
    </w:tbl>
    <w:p/>
    <w:tbl>
      <w:tblPr>
        <w:tblW w:type="auto" w:w="0"/>
        <w:jc w:val="center"/>
        <w:tblLayout w:type="fixed"/>
        <w:tblLook w:firstColumn="1" w:firstRow="1" w:lastColumn="0" w:lastRow="0" w:noHBand="0" w:noVBand="1" w:val="04A0"/>
      </w:tblPr>
      <w:tblGrid>
        <w:gridCol w:w="14112"/>
      </w:tblGrid>
      <w:tr>
        <w:trPr>
          <w:cantSplit/>
        </w:trPr>
        <w:tc>
          <w:tcPr>
            <w:tcW w:type="dxa" w:w="14400"/>
            <w:shd w:fill="F3E7C4"/>
            <w:tcMar>
              <w:top w:w="120" w:type="dxa"/>
              <w:start w:w="150" w:type="dxa"/>
              <w:bottom w:w="120" w:type="dxa"/>
              <w:end w:w="150" w:type="dxa"/>
            </w:tcMar>
          </w:tcPr>
          <w:p>
            <w:pPr>
              <w:spacing w:after="20"/>
            </w:pPr>
            <w:r/>
            <w:r>
              <w:rPr>
                <w:rFonts w:ascii="Aptos" w:hAnsi="Aptos"/>
                <w:b/>
                <w:color w:val="183B56"/>
                <w:sz w:val="20"/>
              </w:rPr>
              <w:t>What to do next</w:t>
              <w:br/>
            </w:r>
            <w:r>
              <w:rPr>
                <w:rFonts w:ascii="Aptos" w:hAnsi="Aptos"/>
                <w:color w:val="23333D"/>
                <w:sz w:val="18"/>
              </w:rPr>
              <w:t>Take the priority vulnerabilities identified here into the Continuity Strategy Planner. For each one, decide what risk-reduction measure, backup or alternative is needed and what must be arranged in advance. For the complete planning process, see the DRM Authority Business Continuity Planning Workbook, Section 3: Dependencies, Assumptions &amp; Single Points of Failure.</w:t>
            </w:r>
          </w:p>
        </w:tc>
      </w:tr>
    </w:tbl>
    <w:p>
      <w:pPr>
        <w:spacing w:after="0"/>
      </w:pPr>
    </w:p>
    <w:p>
      <w:r>
        <w:br w:type="page"/>
      </w:r>
    </w:p>
    <w:p>
      <w:pPr>
        <w:spacing w:before="0" w:after="40"/>
      </w:pPr>
      <w:r>
        <w:rPr>
          <w:rFonts w:ascii="Arial" w:hAnsi="Arial" w:eastAsia="Arial"/>
          <w:b/>
          <w:i w:val="0"/>
          <w:color w:val="0893B5"/>
          <w:sz w:val="16"/>
        </w:rPr>
        <w:t>BUSINESS RESILIENCE STARTER KIT</w:t>
      </w:r>
    </w:p>
    <w:p>
      <w:pPr>
        <w:spacing w:before="0" w:after="80"/>
      </w:pPr>
      <w:r>
        <w:rPr>
          <w:rFonts w:ascii="Arial" w:hAnsi="Arial" w:eastAsia="Arial"/>
          <w:b/>
          <w:i w:val="0"/>
          <w:color w:val="08304A"/>
          <w:sz w:val="36"/>
        </w:rPr>
        <w:t>Use and Reproduction Notice</w:t>
      </w:r>
    </w:p>
    <w:p>
      <w:pPr>
        <w:spacing w:before="0" w:after="240"/>
      </w:pPr>
      <w:r>
        <w:rPr>
          <w:rFonts w:ascii="Arial" w:hAnsi="Arial" w:eastAsia="Arial"/>
          <w:b/>
          <w:i w:val="0"/>
          <w:color w:val="687682"/>
          <w:sz w:val="16"/>
        </w:rPr>
        <w:t>Version 1.0 | September 2026</w:t>
      </w:r>
    </w:p>
    <w:tbl>
      <w:tblPr>
        <w:tblW w:type="dxa" w:w="13104"/>
        <w:jc w:val="center"/>
        <w:tblLayout w:type="fixed"/>
        <w:tblLook w:firstColumn="1" w:firstRow="1" w:lastColumn="0" w:lastRow="0" w:noHBand="0" w:noVBand="1" w:val="04A0"/>
        <w:tblBorders>
          <w:top w:val="nil"/>
          <w:left w:val="nil"/>
          <w:bottom w:val="nil"/>
          <w:right w:val="nil"/>
          <w:insideH w:val="nil"/>
          <w:insideV w:val="nil"/>
        </w:tblBorders>
      </w:tblPr>
      <w:tblGrid>
        <w:gridCol w:w="14400"/>
      </w:tblGrid>
      <w:tr>
        <w:tc>
          <w:tcPr>
            <w:tcW w:type="dxa" w:w="13104"/>
            <w:tcMar>
              <w:top w:w="160" w:type="dxa"/>
              <w:start w:w="180" w:type="dxa"/>
              <w:bottom w:w="160" w:type="dxa"/>
              <w:end w:w="180" w:type="dxa"/>
            </w:tcMar>
            <w:shd w:fill="EAF4F7"/>
          </w:tcPr>
          <w:p>
            <w:pPr>
              <w:spacing w:before="0" w:after="160" w:line="252" w:lineRule="auto"/>
            </w:pPr>
            <w:r>
              <w:rPr>
                <w:rFonts w:ascii="Arial" w:hAnsi="Arial" w:eastAsia="Arial"/>
                <w:b w:val="0"/>
                <w:i w:val="0"/>
                <w:color w:val="08304A"/>
                <w:sz w:val="19"/>
              </w:rPr>
              <w:t>This tool has been developed by the Disaster Risk Management Authority (DRM Authority) of The Bahamas as part of its Business Resilience Programme and is provided to support practical business continuity and resilience planning.</w:t>
            </w:r>
          </w:p>
          <w:p>
            <w:pPr>
              <w:spacing w:before="0" w:after="160" w:line="252" w:lineRule="auto"/>
            </w:pPr>
            <w:r>
              <w:rPr>
                <w:rFonts w:ascii="Arial" w:hAnsi="Arial" w:eastAsia="Arial"/>
                <w:b w:val="0"/>
                <w:i w:val="0"/>
                <w:color w:val="08304A"/>
                <w:sz w:val="19"/>
              </w:rPr>
              <w:t>Businesses and organizations may reproduce and adapt this tool for their own internal business continuity and resilience planning, provided that attribution to the DRM Authority and any applicable third-party acknowledgements are retained.</w:t>
            </w:r>
          </w:p>
          <w:p>
            <w:pPr>
              <w:spacing w:before="0" w:after="160" w:line="252" w:lineRule="auto"/>
            </w:pPr>
            <w:r>
              <w:rPr>
                <w:rFonts w:ascii="Arial" w:hAnsi="Arial" w:eastAsia="Arial"/>
                <w:b w:val="0"/>
                <w:i w:val="0"/>
                <w:color w:val="08304A"/>
                <w:sz w:val="19"/>
              </w:rPr>
              <w:t>This tool, its templates, or any substantial portion of them may not be sold, rebranded, republished, incorporated into a commercial product, or used to deliver paid training, facilitation, consultancy or other commercial services without the prior written permission of the DRM Authority.</w:t>
            </w:r>
          </w:p>
          <w:p>
            <w:pPr>
              <w:spacing w:before="0" w:after="160" w:line="252" w:lineRule="auto"/>
            </w:pPr>
            <w:r>
              <w:rPr>
                <w:rFonts w:ascii="Arial" w:hAnsi="Arial" w:eastAsia="Arial"/>
                <w:b w:val="0"/>
                <w:i w:val="0"/>
                <w:color w:val="08304A"/>
                <w:sz w:val="19"/>
              </w:rPr>
              <w:t>Use of this material does not imply endorsement, accreditation or certification by the DRM Authority. Third-party material, where identified, remains subject to the rights and terms of its respective owner.</w:t>
            </w:r>
          </w:p>
        </w:tc>
      </w:tr>
    </w:tbl>
    <w:tbl>
      <w:tblPr>
        <w:tblW w:type="dxa" w:w="13104"/>
        <w:jc w:val="center"/>
        <w:tblLayout w:type="fixed"/>
        <w:tblLook w:firstColumn="1" w:firstRow="1" w:lastColumn="0" w:lastRow="0" w:noHBand="0" w:noVBand="1" w:val="04A0"/>
        <w:tblBorders>
          <w:top w:val="nil"/>
          <w:left w:val="nil"/>
          <w:bottom w:val="nil"/>
          <w:right w:val="nil"/>
          <w:insideH w:val="nil"/>
          <w:insideV w:val="nil"/>
        </w:tblBorders>
      </w:tblPr>
      <w:tblGrid>
        <w:gridCol w:w="14400"/>
      </w:tblGrid>
      <w:tr>
        <w:tc>
          <w:tcPr>
            <w:tcW w:type="dxa" w:w="13104"/>
            <w:tcMar>
              <w:top w:w="100" w:type="dxa"/>
              <w:start w:w="160" w:type="dxa"/>
              <w:bottom w:w="100" w:type="dxa"/>
              <w:end w:w="160" w:type="dxa"/>
            </w:tcMar>
            <w:shd w:fill="F8EAB8"/>
          </w:tcPr>
          <w:p>
            <w:pPr>
              <w:spacing w:before="0" w:after="0"/>
              <w:jc w:val="center"/>
            </w:pPr>
            <w:r>
              <w:rPr>
                <w:rFonts w:ascii="Arial" w:hAnsi="Arial" w:eastAsia="Arial"/>
                <w:b/>
                <w:i w:val="0"/>
                <w:color w:val="08304A"/>
                <w:sz w:val="19"/>
              </w:rPr>
              <w:t>Internal adaptation is permitted. Commercial reuse requires prior written permission.</w:t>
            </w:r>
          </w:p>
        </w:tc>
      </w:tr>
    </w:tbl>
    <w:sectPr w:rsidR="00FC693F" w:rsidRPr="0006063C" w:rsidSect="00034616">
      <w:footerReference w:type="default" r:id="rId9"/>
      <w:headerReference w:type="default" r:id="rId11"/>
      <w:headerReference w:type="first" r:id="rId12"/>
      <w:footerReference w:type="first" r:id="rId13"/>
      <w:pgSz w:w="15840" w:h="12240" w:orient="landscape"/>
      <w:pgMar w:top="648" w:right="720" w:bottom="648" w:left="720" w:header="43" w:footer="5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sdt>
    <w:sdtPr>
      <w:lock w:val="sdtContentLocked"/>
      <w:alias w:val="DRM Authority protected branding"/>
      <w:tag w:val="DRM_BRANDING_LOCK"/>
    </w:sdtPr>
    <w:sdtContent>
      <w:tbl>
        <w:tblPr>
          <w:tblW w:type="dxa" w:w="14327"/>
          <w:jc w:val="center"/>
          <w:tblLayout w:type="fixed"/>
          <w:tblLook w:firstColumn="1" w:firstRow="1" w:lastColumn="0" w:lastRow="0" w:noHBand="0" w:noVBand="1" w:val="04A0"/>
          <w:tblBorders>
            <w:top w:val="nil"/>
            <w:left w:val="nil"/>
            <w:bottom w:val="nil"/>
            <w:right w:val="nil"/>
            <w:insideH w:val="nil"/>
            <w:insideV w:val="nil"/>
          </w:tblBorders>
        </w:tblPr>
        <w:tblGrid>
          <w:gridCol w:w="4776"/>
          <w:gridCol w:w="4776"/>
          <w:gridCol w:w="4776"/>
        </w:tblGrid>
        <w:tr>
          <w:tc>
            <w:tcPr>
              <w:tcW w:type="dxa" w:w="5832"/>
              <w:tcMar>
                <w:top w:w="0" w:type="dxa"/>
                <w:start w:w="0" w:type="dxa"/>
                <w:bottom w:w="0" w:type="dxa"/>
                <w:end w:w="0" w:type="dxa"/>
              </w:tcMar>
              <w:vAlign w:val="center"/>
            </w:tcPr>
            <w:p>
              <w:pPr>
                <w:spacing w:before="0" w:after="0"/>
                <w:jc w:val="left"/>
              </w:pPr>
              <w:r>
                <w:rPr>
                  <w:rFonts w:ascii="Arial" w:hAnsi="Arial" w:eastAsia="Arial"/>
                  <w:b/>
                  <w:i w:val="0"/>
                  <w:color w:val="08304A"/>
                  <w:sz w:val="13"/>
                </w:rPr>
                <w:t>DRM Authority | Business Resilience Programme</w:t>
              </w:r>
            </w:p>
          </w:tc>
          <w:tc>
            <w:tcPr>
              <w:tcW w:type="dxa" w:w="3888"/>
              <w:tcMar>
                <w:top w:w="0" w:type="dxa"/>
                <w:start w:w="0" w:type="dxa"/>
                <w:bottom w:w="0" w:type="dxa"/>
                <w:end w:w="0" w:type="dxa"/>
              </w:tcMar>
              <w:vAlign w:val="center"/>
            </w:tcPr>
            <w:p>
              <w:pPr>
                <w:spacing w:before="0" w:after="0"/>
                <w:jc w:val="center"/>
              </w:pPr>
              <w:r>
                <w:rPr>
                  <w:rFonts w:ascii="Arial" w:hAnsi="Arial" w:eastAsia="Arial"/>
                  <w:b w:val="0"/>
                  <w:i w:val="0"/>
                  <w:color w:val="687682"/>
                  <w:sz w:val="13"/>
                </w:rPr>
                <w:t>Version 1.0 | September 2026</w:t>
              </w:r>
            </w:p>
          </w:tc>
          <w:tc>
            <w:tcPr>
              <w:tcW w:type="dxa" w:w="4608"/>
              <w:tcMar>
                <w:top w:w="0" w:type="dxa"/>
                <w:start w:w="0" w:type="dxa"/>
                <w:bottom w:w="0" w:type="dxa"/>
                <w:end w:w="0" w:type="dxa"/>
              </w:tcMar>
              <w:vAlign w:val="center"/>
            </w:tcPr>
            <w:p>
              <w:pPr>
                <w:spacing w:before="0" w:after="0"/>
                <w:jc w:val="right"/>
              </w:pPr>
              <w:r>
                <w:rPr>
                  <w:rFonts w:ascii="Arial" w:hAnsi="Arial" w:eastAsia="Arial"/>
                  <w:b w:val="0"/>
                  <w:i w:val="0"/>
                  <w:color w:val="08304A"/>
                  <w:sz w:val="13"/>
                </w:rPr>
                <w:t xml:space="preserve">Page </w:t>
              </w:r>
              <w:fldSimple w:instr="PAGE">
                <w:r>
                  <w:rPr>
                    <w:rFonts w:ascii="Arial" w:hAnsi="Arial"/>
                    <w:sz w:val="13"/>
                    <w:color w:val="08304A"/>
                  </w:rPr>
                  <w:t>1</w:t>
                </w:r>
              </w:fldSimple>
              <w:r>
                <w:rPr>
                  <w:rFonts w:ascii="Arial" w:hAnsi="Arial" w:eastAsia="Arial"/>
                  <w:b w:val="0"/>
                  <w:i w:val="0"/>
                  <w:color w:val="08304A"/>
                  <w:sz w:val="13"/>
                </w:rPr>
                <w:t xml:space="preserve"> of </w:t>
              </w:r>
              <w:fldSimple w:instr="NUMPAGES">
                <w:r>
                  <w:rPr>
                    <w:rFonts w:ascii="Arial" w:hAnsi="Arial"/>
                    <w:sz w:val="13"/>
                    <w:color w:val="08304A"/>
                  </w:rPr>
                  <w:t>1</w:t>
                </w:r>
              </w:fldSimple>
            </w:p>
          </w:tc>
        </w:tr>
        <w:tr>
          <w:tc>
            <w:tcPr>
              <w:tcW w:type="dxa" w:w="14328"/>
              <w:gridSpan w:val="3"/>
              <w:tcMar>
                <w:top w:w="0" w:type="dxa"/>
                <w:start w:w="0" w:type="dxa"/>
                <w:bottom w:w="0" w:type="dxa"/>
                <w:end w:w="0" w:type="dxa"/>
              </w:tcMar>
            </w:tcPr>
            <w:p>
              <w:pPr>
                <w:spacing w:before="0" w:after="0"/>
                <w:jc w:val="center"/>
              </w:pPr>
              <w:r>
                <w:rPr>
                  <w:rFonts w:ascii="Arial" w:hAnsi="Arial" w:eastAsia="Arial"/>
                  <w:b w:val="0"/>
                  <w:i w:val="0"/>
                  <w:color w:val="687682"/>
                  <w:sz w:val="12"/>
                </w:rPr>
                <w:t>For internal business continuity and resilience planning. Commercial use requires prior written permission.</w:t>
              </w:r>
            </w:p>
          </w:tc>
        </w:tr>
      </w:tbl>
    </w:sdtContent>
  </w:sdt>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sdt>
    <w:sdtPr>
      <w:lock w:val="sdtContentLocked"/>
      <w:alias w:val="DRM Authority protected branding"/>
      <w:tag w:val="DRM_BRANDING_LOCK"/>
    </w:sdtPr>
    <w:sdtContent>
      <w:tbl>
        <w:tblPr>
          <w:tblW w:type="dxa" w:w="14327"/>
          <w:jc w:val="center"/>
          <w:tblLayout w:type="fixed"/>
          <w:tblLook w:firstColumn="1" w:firstRow="1" w:lastColumn="0" w:lastRow="0" w:noHBand="0" w:noVBand="1" w:val="04A0"/>
          <w:tblBorders>
            <w:top w:val="nil"/>
            <w:left w:val="nil"/>
            <w:bottom w:val="nil"/>
            <w:right w:val="nil"/>
            <w:insideH w:val="nil"/>
            <w:insideV w:val="nil"/>
          </w:tblBorders>
        </w:tblPr>
        <w:tblGrid>
          <w:gridCol w:w="4776"/>
          <w:gridCol w:w="4776"/>
          <w:gridCol w:w="4776"/>
        </w:tblGrid>
        <w:tr>
          <w:tc>
            <w:tcPr>
              <w:tcW w:type="dxa" w:w="5832"/>
              <w:tcMar>
                <w:top w:w="0" w:type="dxa"/>
                <w:start w:w="0" w:type="dxa"/>
                <w:bottom w:w="0" w:type="dxa"/>
                <w:end w:w="0" w:type="dxa"/>
              </w:tcMar>
              <w:vAlign w:val="center"/>
            </w:tcPr>
            <w:p>
              <w:pPr>
                <w:spacing w:before="0" w:after="0"/>
                <w:jc w:val="left"/>
              </w:pPr>
              <w:r>
                <w:rPr>
                  <w:rFonts w:ascii="Arial" w:hAnsi="Arial" w:eastAsia="Arial"/>
                  <w:b/>
                  <w:i w:val="0"/>
                  <w:color w:val="08304A"/>
                  <w:sz w:val="13"/>
                </w:rPr>
                <w:t>DRM Authority | Business Resilience Programme</w:t>
              </w:r>
            </w:p>
          </w:tc>
          <w:tc>
            <w:tcPr>
              <w:tcW w:type="dxa" w:w="3888"/>
              <w:tcMar>
                <w:top w:w="0" w:type="dxa"/>
                <w:start w:w="0" w:type="dxa"/>
                <w:bottom w:w="0" w:type="dxa"/>
                <w:end w:w="0" w:type="dxa"/>
              </w:tcMar>
              <w:vAlign w:val="center"/>
            </w:tcPr>
            <w:p>
              <w:pPr>
                <w:spacing w:before="0" w:after="0"/>
                <w:jc w:val="center"/>
              </w:pPr>
              <w:r>
                <w:rPr>
                  <w:rFonts w:ascii="Arial" w:hAnsi="Arial" w:eastAsia="Arial"/>
                  <w:b w:val="0"/>
                  <w:i w:val="0"/>
                  <w:color w:val="687682"/>
                  <w:sz w:val="13"/>
                </w:rPr>
                <w:t>Version 1.0 | September 2026</w:t>
              </w:r>
            </w:p>
          </w:tc>
          <w:tc>
            <w:tcPr>
              <w:tcW w:type="dxa" w:w="4608"/>
              <w:tcMar>
                <w:top w:w="0" w:type="dxa"/>
                <w:start w:w="0" w:type="dxa"/>
                <w:bottom w:w="0" w:type="dxa"/>
                <w:end w:w="0" w:type="dxa"/>
              </w:tcMar>
              <w:vAlign w:val="center"/>
            </w:tcPr>
            <w:p>
              <w:pPr>
                <w:spacing w:before="0" w:after="0"/>
                <w:jc w:val="right"/>
              </w:pPr>
              <w:r>
                <w:rPr>
                  <w:rFonts w:ascii="Arial" w:hAnsi="Arial" w:eastAsia="Arial"/>
                  <w:b w:val="0"/>
                  <w:i w:val="0"/>
                  <w:color w:val="08304A"/>
                  <w:sz w:val="13"/>
                </w:rPr>
                <w:t xml:space="preserve">Page </w:t>
              </w:r>
              <w:fldSimple w:instr="PAGE">
                <w:r>
                  <w:rPr>
                    <w:rFonts w:ascii="Arial" w:hAnsi="Arial"/>
                    <w:sz w:val="13"/>
                    <w:color w:val="08304A"/>
                  </w:rPr>
                  <w:t>1</w:t>
                </w:r>
              </w:fldSimple>
              <w:r>
                <w:rPr>
                  <w:rFonts w:ascii="Arial" w:hAnsi="Arial" w:eastAsia="Arial"/>
                  <w:b w:val="0"/>
                  <w:i w:val="0"/>
                  <w:color w:val="08304A"/>
                  <w:sz w:val="13"/>
                </w:rPr>
                <w:t xml:space="preserve"> of </w:t>
              </w:r>
              <w:fldSimple w:instr="NUMPAGES">
                <w:r>
                  <w:rPr>
                    <w:rFonts w:ascii="Arial" w:hAnsi="Arial"/>
                    <w:sz w:val="13"/>
                    <w:color w:val="08304A"/>
                  </w:rPr>
                  <w:t>1</w:t>
                </w:r>
              </w:fldSimple>
            </w:p>
          </w:tc>
        </w:tr>
        <w:tr>
          <w:tc>
            <w:tcPr>
              <w:tcW w:type="dxa" w:w="14328"/>
              <w:gridSpan w:val="3"/>
              <w:tcMar>
                <w:top w:w="0" w:type="dxa"/>
                <w:start w:w="0" w:type="dxa"/>
                <w:bottom w:w="0" w:type="dxa"/>
                <w:end w:w="0" w:type="dxa"/>
              </w:tcMar>
            </w:tcPr>
            <w:p>
              <w:pPr>
                <w:spacing w:before="0" w:after="0"/>
                <w:jc w:val="center"/>
              </w:pPr>
              <w:r>
                <w:rPr>
                  <w:rFonts w:ascii="Arial" w:hAnsi="Arial" w:eastAsia="Arial"/>
                  <w:b w:val="0"/>
                  <w:i w:val="0"/>
                  <w:color w:val="687682"/>
                  <w:sz w:val="12"/>
                </w:rPr>
                <w:t>For internal business continuity and resilience planning. Commercial use requires prior written permission.</w:t>
              </w:r>
            </w:p>
          </w:tc>
        </w:tr>
      </w:tbl>
    </w:sdtContent>
  </w:sdt>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sdt>
    <w:sdtPr>
      <w:lock w:val="sdtContentLocked"/>
      <w:alias w:val="DRM Authority protected branding"/>
      <w:tag w:val="DRM_BRANDING_LOCK"/>
    </w:sdtPr>
    <w:sdtContent>
      <w:tbl>
        <w:tblPr>
          <w:tblW w:type="dxa" w:w="14327"/>
          <w:jc w:val="center"/>
          <w:tblLayout w:type="fixed"/>
          <w:tblLook w:firstColumn="1" w:firstRow="1" w:lastColumn="0" w:lastRow="0" w:noHBand="0" w:noVBand="1" w:val="04A0"/>
          <w:tblBorders>
            <w:top w:val="nil"/>
            <w:left w:val="nil"/>
            <w:bottom w:val="nil"/>
            <w:right w:val="nil"/>
            <w:insideH w:val="nil"/>
            <w:insideV w:val="nil"/>
          </w:tblBorders>
        </w:tblPr>
        <w:tblGrid>
          <w:gridCol w:w="7164"/>
          <w:gridCol w:w="7164"/>
        </w:tblGrid>
        <w:tr>
          <w:tc>
            <w:tcPr>
              <w:tcW w:type="dxa" w:w="2951"/>
              <w:tcMar>
                <w:top w:w="0" w:type="dxa"/>
                <w:start w:w="0" w:type="dxa"/>
                <w:bottom w:w="0" w:type="dxa"/>
                <w:end w:w="40" w:type="dxa"/>
              </w:tcMar>
              <w:vAlign w:val="center"/>
            </w:tcPr>
            <w:p>
              <w:pPr>
                <w:spacing w:before="0" w:after="0"/>
                <w:jc w:val="left"/>
              </w:pPr>
              <w:r>
                <w:drawing>
                  <wp:inline xmlns:a="http://schemas.openxmlformats.org/drawingml/2006/main" xmlns:pic="http://schemas.openxmlformats.org/drawingml/2006/picture">
                    <wp:extent cx="1170432" cy="365760"/>
                    <wp:docPr id="1" name="Picture 1"/>
                    <wp:cNvGraphicFramePr>
                      <a:graphicFrameLocks noChangeAspect="1"/>
                    </wp:cNvGraphicFramePr>
                    <a:graphic>
                      <a:graphicData uri="http://schemas.openxmlformats.org/drawingml/2006/picture">
                        <pic:pic>
                          <pic:nvPicPr>
                            <pic:cNvPr id="0" name="A_DRMLogo-FULL.png"/>
                            <pic:cNvPicPr/>
                          </pic:nvPicPr>
                          <pic:blipFill>
                            <a:blip r:embed="rId1"/>
                            <a:stretch>
                              <a:fillRect/>
                            </a:stretch>
                          </pic:blipFill>
                          <pic:spPr>
                            <a:xfrm>
                              <a:off x="0" y="0"/>
                              <a:ext cx="1170432" cy="365760"/>
                            </a:xfrm>
                            <a:prstGeom prst="rect"/>
                          </pic:spPr>
                        </pic:pic>
                      </a:graphicData>
                    </a:graphic>
                  </wp:inline>
                </w:drawing>
              </w:r>
            </w:p>
          </w:tc>
          <w:tc>
            <w:tcPr>
              <w:tcW w:type="dxa" w:w="11376"/>
              <w:tcMar>
                <w:top w:w="0" w:type="dxa"/>
                <w:start w:w="40" w:type="dxa"/>
                <w:bottom w:w="0" w:type="dxa"/>
                <w:end w:w="0" w:type="dxa"/>
              </w:tcMar>
              <w:vAlign w:val="center"/>
            </w:tcPr>
            <w:p>
              <w:pPr>
                <w:spacing w:before="0" w:after="0"/>
                <w:jc w:val="right"/>
              </w:pPr>
              <w:r>
                <w:rPr>
                  <w:rFonts w:ascii="Arial" w:hAnsi="Arial" w:eastAsia="Arial"/>
                  <w:b/>
                  <w:i w:val="0"/>
                  <w:color w:val="08304A"/>
                  <w:sz w:val="15"/>
                </w:rPr>
                <w:t>Critical Dependencies &amp; SPOF Tool</w:t>
              </w:r>
            </w:p>
          </w:tc>
        </w:tr>
      </w:tbl>
    </w:sdtContent>
  </w:sdt>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sdt>
    <w:sdtPr>
      <w:lock w:val="sdtContentLocked"/>
      <w:alias w:val="DRM Authority protected branding"/>
      <w:tag w:val="DRM_BRANDING_LOCK"/>
    </w:sdtPr>
    <w:sdtContent>
      <w:p/>
    </w:sdtContent>
  </w:sdt>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olkitTitle">
    <w:name w:val="ToolkitTitle"/>
    <w:pPr>
      <w:spacing w:after="80"/>
    </w:pPr>
    <w:rPr>
      <w:rFonts w:ascii="Aptos" w:hAnsi="Aptos"/>
      <w:b/>
      <w:color w:val="183B56"/>
      <w:sz w:val="44"/>
    </w:rPr>
  </w:style>
  <w:style w:type="paragraph" w:customStyle="1" w:styleId="ToolkitKicker">
    <w:name w:val="ToolkitKicker"/>
    <w:pPr>
      <w:spacing w:after="80"/>
    </w:pPr>
    <w:rPr>
      <w:rFonts w:ascii="Aptos" w:hAnsi="Aptos"/>
      <w:b/>
      <w:color w:val="2B6F73"/>
      <w:sz w:val="16"/>
    </w:rPr>
  </w:style>
  <w:style w:type="paragraph" w:customStyle="1" w:styleId="ToolkitSub">
    <w:name w:val="ToolkitSub"/>
    <w:pPr>
      <w:spacing w:after="80"/>
    </w:pPr>
    <w:rPr>
      <w:rFonts w:ascii="Aptos" w:hAnsi="Aptos"/>
      <w:b w:val="0"/>
      <w:color w:val="6B747A"/>
      <w:sz w:val="20"/>
    </w:rPr>
  </w:style>
  <w:style w:type="paragraph" w:customStyle="1" w:styleId="SectionHead">
    <w:name w:val="SectionHead"/>
    <w:pPr>
      <w:spacing w:after="80"/>
    </w:pPr>
    <w:rPr>
      <w:rFonts w:ascii="Aptos" w:hAnsi="Aptos"/>
      <w:b/>
      <w:color w:val="183B56"/>
      <w:sz w:val="26"/>
    </w:rPr>
  </w:style>
  <w:style w:type="paragraph" w:customStyle="1" w:styleId="SmallHead">
    <w:name w:val="SmallHead"/>
    <w:pPr>
      <w:spacing w:after="80"/>
    </w:pPr>
    <w:rPr>
      <w:rFonts w:ascii="Aptos" w:hAnsi="Aptos"/>
      <w:b/>
      <w:color w:val="2B6F73"/>
      <w:sz w:val="18"/>
    </w:rPr>
  </w:style>
  <w:style w:type="paragraph" w:customStyle="1" w:styleId="Tiny">
    <w:name w:val="Tiny"/>
    <w:pPr>
      <w:spacing w:after="80"/>
    </w:pPr>
    <w:rPr>
      <w:rFonts w:ascii="Aptos" w:hAnsi="Aptos"/>
      <w:b w:val="0"/>
      <w:color w:val="6B747A"/>
      <w:sz w:val="1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Critical Dependencies &amp; Single Points of Failure Tool</dc:title>
  <dc:subject>DRM Authority Business Resilience Starter Kit</dc:subject>
  <dc:creator>Disaster Risk Management Authority, The Bahamas</dc:creator>
  <cp:keywords>business resilience, business continuity, disaster risk management, The Bahamas</cp:keywords>
  <dc:description>Version 1.0 | September 2026</dc:description>
  <cp:lastModifiedBy/>
  <cp:revision>1</cp:revision>
  <dcterms:created xsi:type="dcterms:W3CDTF">2013-12-23T23:15:00Z</dcterms:created>
  <dcterms:modified xsi:type="dcterms:W3CDTF">2013-12-23T23:15:00Z</dcterms:modified>
  <cp:category/>
</cp:coreProperties>
</file>