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4327"/>
        <w:jc w:val="center"/>
        <w:tblLayout w:type="fixed"/>
        <w:tblLook w:firstColumn="1" w:firstRow="1" w:lastColumn="0" w:lastRow="0" w:noHBand="0" w:noVBand="1" w:val="04A0"/>
        <w:tblBorders>
          <w:top w:val="nil"/>
          <w:left w:val="nil"/>
          <w:bottom w:val="nil"/>
          <w:right w:val="nil"/>
          <w:insideH w:val="nil"/>
          <w:insideV w:val="nil"/>
        </w:tblBorders>
      </w:tblPr>
      <w:tblGrid>
        <w:gridCol w:w="7200"/>
        <w:gridCol w:w="7200"/>
      </w:tblGrid>
      <w:tr>
        <w:tc>
          <w:tcPr>
            <w:tcW w:type="dxa" w:w="10296"/>
            <w:tcMar>
              <w:top w:w="0" w:type="dxa"/>
              <w:start w:w="0" w:type="dxa"/>
              <w:bottom w:w="0" w:type="dxa"/>
              <w:end w:w="80" w:type="dxa"/>
            </w:tcMar>
            <w:vAlign w:val="center"/>
          </w:tcPr>
          <w:p>
            <w:pPr>
              <w:keepNext/>
              <w:spacing w:after="20" w:before="0"/>
              <w:jc w:val="center"/>
            </w:pPr>
            <w:r>
              <w:rPr>
                <w:b/>
                <w:color w:val="17365D"/>
                <w:sz w:val="21"/>
              </w:rPr>
              <w:t>BUSINESS RESILIENCE STARTER KIT</w:t>
            </w:r>
          </w:p>
          <w:p>
            <w:pPr>
              <w:keepNext/>
              <w:spacing w:after="40" w:before="0"/>
              <w:jc w:val="center"/>
            </w:pPr>
            <w:r>
              <w:rPr>
                <w:b/>
                <w:color w:val="17365D"/>
                <w:sz w:val="42"/>
              </w:rPr>
              <w:t>Critical Functions &amp; Business Impact Analysis Tool</w:t>
            </w:r>
          </w:p>
          <w:p>
            <w:pPr>
              <w:keepNext/>
              <w:spacing w:after="0" w:before="0"/>
              <w:jc w:val="center"/>
            </w:pPr>
            <w:r>
              <w:rPr>
                <w:color w:val="666666"/>
                <w:sz w:val="19"/>
              </w:rPr>
              <w:t>Disaster Risk Management Authority | The Bahamas</w:t>
            </w:r>
          </w:p>
          <w:p>
            <w:pPr>
              <w:keepNext/>
              <w:spacing w:after="0" w:before="0"/>
              <w:jc w:val="center"/>
            </w:pPr>
            <w:r>
              <w:rPr>
                <w:i/>
                <w:sz w:val="17"/>
              </w:rPr>
              <w:t>Derived from the DRM Authority Business Continuity Planning Workbook</w:t>
            </w:r>
          </w:p>
        </w:tc>
        <w:tc>
          <w:tcPr>
            <w:tcW w:type="dxa" w:w="4031"/>
            <w:tcMar>
              <w:top w:w="0" w:type="dxa"/>
              <w:start w:w="80" w:type="dxa"/>
              <w:bottom w:w="0" w:type="dxa"/>
              <w:end w:w="0" w:type="dxa"/>
            </w:tcMar>
            <w:vAlign w:val="center"/>
          </w:tcPr>
          <w:p>
            <w:pPr>
              <w:keepNext/>
              <w:spacing w:before="0" w:after="0"/>
              <w:jc w:val="right"/>
            </w:pPr>
            <w:r>
              <w:drawing>
                <wp:inline xmlns:a="http://schemas.openxmlformats.org/drawingml/2006/main" xmlns:pic="http://schemas.openxmlformats.org/drawingml/2006/picture">
                  <wp:extent cx="2148840" cy="671512"/>
                  <wp:docPr id="1" name="Picture 1"/>
                  <wp:cNvGraphicFramePr>
                    <a:graphicFrameLocks noChangeAspect="1"/>
                  </wp:cNvGraphicFramePr>
                  <a:graphic>
                    <a:graphicData uri="http://schemas.openxmlformats.org/drawingml/2006/picture">
                      <pic:pic>
                        <pic:nvPicPr>
                          <pic:cNvPr id="0" name="A_DRMLogo-FULL.png"/>
                          <pic:cNvPicPr/>
                        </pic:nvPicPr>
                        <pic:blipFill>
                          <a:blip r:embed="rId10"/>
                          <a:stretch>
                            <a:fillRect/>
                          </a:stretch>
                        </pic:blipFill>
                        <pic:spPr>
                          <a:xfrm>
                            <a:off x="0" y="0"/>
                            <a:ext cx="2148840" cy="671512"/>
                          </a:xfrm>
                          <a:prstGeom prst="rect"/>
                        </pic:spPr>
                      </pic:pic>
                    </a:graphicData>
                  </a:graphic>
                </wp:inline>
              </w:drawing>
            </w:r>
          </w:p>
        </w:tc>
      </w:tr>
    </w:tbl>
    <w:tbl>
      <w:tblPr>
        <w:tblW w:type="auto" w:w="0"/>
        <w:jc w:val="center"/>
        <w:tblLayout w:type="fixed"/>
        <w:tblLook w:firstColumn="1" w:firstRow="1" w:lastColumn="0" w:lastRow="0" w:noHBand="0" w:noVBand="1" w:val="04A0"/>
      </w:tblPr>
      <w:tblGrid>
        <w:gridCol w:w="13824"/>
      </w:tblGrid>
      <w:tr>
        <w:tc>
          <w:tcPr>
            <w:tcW w:type="dxa" w:w="14400"/>
            <w:shd w:fill="D9EAF7"/>
            <w:tcMar>
              <w:top w:w="100" w:type="dxa"/>
              <w:start w:w="130" w:type="dxa"/>
              <w:bottom w:w="100" w:type="dxa"/>
              <w:end w:w="130" w:type="dxa"/>
            </w:tcMar>
          </w:tcPr>
          <w:p>
            <w:r>
              <w:rPr>
                <w:b/>
                <w:color w:val="17365D"/>
                <w:sz w:val="19"/>
              </w:rPr>
              <w:t>What this tool helps you do</w:t>
            </w:r>
          </w:p>
          <w:p>
            <w:pPr>
              <w:spacing w:after="0"/>
            </w:pPr>
            <w:r>
              <w:rPr>
                <w:sz w:val="18"/>
              </w:rPr>
              <w:t>Identify the business activities that matter most, understand what happens if they stop, determine how long the business can tolerate the interruption, and set realistic recovery priorities.</w:t>
            </w:r>
          </w:p>
        </w:tc>
      </w:tr>
    </w:tbl>
    <w:tbl>
      <w:tblPr>
        <w:tblW w:type="auto" w:w="0"/>
        <w:jc w:val="center"/>
        <w:tblLayout w:type="fixed"/>
        <w:tblLook w:firstColumn="1" w:firstRow="1" w:lastColumn="0" w:lastRow="0" w:noHBand="0" w:noVBand="1" w:val="04A0"/>
      </w:tblPr>
      <w:tblGrid>
        <w:gridCol w:w="6912"/>
        <w:gridCol w:w="6912"/>
      </w:tblGrid>
      <w:tr>
        <w:tc>
          <w:tcPr>
            <w:tcW w:type="dxa" w:w="7200"/>
            <w:tcMar>
              <w:top w:w="50" w:type="dxa"/>
              <w:start w:w="100" w:type="dxa"/>
              <w:bottom w:w="50" w:type="dxa"/>
              <w:end w:w="100" w:type="dxa"/>
            </w:tcMar>
          </w:tcPr>
          <w:p>
            <w:r/>
            <w:r>
              <w:rPr>
                <w:b/>
                <w:color w:val="17365D"/>
                <w:sz w:val="24"/>
              </w:rPr>
              <w:t>Use this tool when...</w:t>
            </w:r>
          </w:p>
          <w:p>
            <w:pPr>
              <w:spacing w:after="0"/>
              <w:ind w:left="216" w:hanging="144"/>
            </w:pPr>
            <w:r>
              <w:rPr>
                <w:sz w:val="17"/>
              </w:rPr>
              <w:t xml:space="preserve">• </w:t>
            </w:r>
            <w:r>
              <w:rPr>
                <w:sz w:val="17"/>
              </w:rPr>
              <w:t>you are developing or updating a Business Continuity Plan;</w:t>
            </w:r>
          </w:p>
          <w:p>
            <w:pPr>
              <w:spacing w:after="0"/>
              <w:ind w:left="216" w:hanging="144"/>
            </w:pPr>
            <w:r>
              <w:rPr>
                <w:sz w:val="17"/>
              </w:rPr>
              <w:t xml:space="preserve">• </w:t>
            </w:r>
            <w:r>
              <w:rPr>
                <w:sz w:val="17"/>
              </w:rPr>
              <w:t>you need to decide which business activities must be restored first;</w:t>
            </w:r>
          </w:p>
          <w:p>
            <w:pPr>
              <w:spacing w:after="0"/>
              <w:ind w:left="216" w:hanging="144"/>
            </w:pPr>
            <w:r>
              <w:rPr>
                <w:sz w:val="17"/>
              </w:rPr>
              <w:t xml:space="preserve">• </w:t>
            </w:r>
            <w:r>
              <w:rPr>
                <w:sz w:val="17"/>
              </w:rPr>
              <w:t>you want to compare how long an activity can be unavailable with how quickly you can realistically restore it; or</w:t>
            </w:r>
          </w:p>
          <w:p>
            <w:pPr>
              <w:spacing w:after="0"/>
              <w:ind w:left="216" w:hanging="144"/>
            </w:pPr>
            <w:r>
              <w:rPr>
                <w:sz w:val="17"/>
              </w:rPr>
              <w:t xml:space="preserve">• </w:t>
            </w:r>
            <w:r>
              <w:rPr>
                <w:sz w:val="17"/>
              </w:rPr>
              <w:t>you need a clear basis for setting recovery priorities and continuity strategies.</w:t>
            </w:r>
          </w:p>
        </w:tc>
        <w:tc>
          <w:tcPr>
            <w:tcW w:type="dxa" w:w="7200"/>
            <w:tcMar>
              <w:top w:w="50" w:type="dxa"/>
              <w:start w:w="100" w:type="dxa"/>
              <w:bottom w:w="50" w:type="dxa"/>
              <w:end w:w="100" w:type="dxa"/>
            </w:tcMar>
          </w:tcPr>
          <w:p>
            <w:r/>
            <w:r>
              <w:rPr>
                <w:b/>
                <w:color w:val="17365D"/>
                <w:sz w:val="24"/>
              </w:rPr>
              <w:t>How to use the tool</w:t>
            </w:r>
          </w:p>
          <w:p>
            <w:pPr>
              <w:spacing w:after="0"/>
            </w:pPr>
            <w:r>
              <w:rPr>
                <w:b/>
                <w:color w:val="17365D"/>
              </w:rPr>
              <w:t xml:space="preserve">1. </w:t>
            </w:r>
            <w:r>
              <w:rPr>
                <w:sz w:val="17"/>
              </w:rPr>
              <w:t>List the functions that directly support your most important products and services.</w:t>
            </w:r>
          </w:p>
          <w:p>
            <w:pPr>
              <w:spacing w:after="0"/>
            </w:pPr>
            <w:r>
              <w:rPr>
                <w:b/>
                <w:color w:val="17365D"/>
              </w:rPr>
              <w:t xml:space="preserve">2. </w:t>
            </w:r>
            <w:r>
              <w:rPr>
                <w:sz w:val="17"/>
              </w:rPr>
              <w:t>For each function, describe what happens if it is interrupted and identify its key dependencies.</w:t>
            </w:r>
          </w:p>
          <w:p>
            <w:pPr>
              <w:spacing w:after="0"/>
            </w:pPr>
            <w:r>
              <w:rPr>
                <w:b/>
                <w:color w:val="17365D"/>
              </w:rPr>
              <w:t xml:space="preserve">3. </w:t>
            </w:r>
            <w:r>
              <w:rPr>
                <w:sz w:val="17"/>
              </w:rPr>
              <w:t>Estimate the minimum staff needed, the Maximum Acceptable Downtime, and the Target Recovery Time.</w:t>
            </w:r>
          </w:p>
          <w:p>
            <w:pPr>
              <w:spacing w:after="0"/>
            </w:pPr>
            <w:r>
              <w:rPr>
                <w:b/>
                <w:color w:val="17365D"/>
              </w:rPr>
              <w:t xml:space="preserve">4. </w:t>
            </w:r>
            <w:r>
              <w:rPr>
                <w:sz w:val="17"/>
              </w:rPr>
              <w:t>Assign a recovery priority from 1 to 5.</w:t>
            </w:r>
          </w:p>
          <w:p>
            <w:pPr>
              <w:spacing w:after="0"/>
            </w:pPr>
            <w:r>
              <w:rPr>
                <w:b/>
                <w:color w:val="17365D"/>
              </w:rPr>
              <w:t xml:space="preserve">5. </w:t>
            </w:r>
            <w:r>
              <w:rPr>
                <w:sz w:val="17"/>
              </w:rPr>
              <w:t>Where the Target Recovery Time is later than the Maximum Acceptable Downtime, treat that as a continuity gap requiring action.</w:t>
            </w:r>
          </w:p>
        </w:tc>
      </w:tr>
    </w:tbl>
    <w:p>
      <w:pPr>
        <w:pStyle w:val="Heading1"/>
        <w:spacing w:before="80" w:after="40"/>
      </w:pPr>
      <w:r>
        <w:t>Key terms</w:t>
      </w:r>
    </w:p>
    <w:tbl>
      <w:tblPr>
        <w:tblW w:type="auto" w:w="0"/>
        <w:jc w:val="center"/>
        <w:tblLayout w:type="fixed"/>
        <w:tblLook w:firstColumn="1" w:firstRow="1" w:lastColumn="0" w:lastRow="0" w:noHBand="0" w:noVBand="1" w:val="04A0"/>
      </w:tblPr>
      <w:tblGrid>
        <w:gridCol w:w="3024"/>
        <w:gridCol w:w="10944"/>
      </w:tblGrid>
      <w:tr>
        <w:tc>
          <w:tcPr>
            <w:tcW w:type="dxa" w:w="7200"/>
            <w:vAlign w:val="center"/>
            <w:tcMar>
              <w:top w:w="80" w:type="dxa"/>
              <w:start w:w="90" w:type="dxa"/>
              <w:bottom w:w="80" w:type="dxa"/>
              <w:end w:w="90" w:type="dxa"/>
            </w:tcMar>
            <w:shd w:fill="17365D"/>
          </w:tcPr>
          <w:p>
            <w:pPr>
              <w:jc w:val="center"/>
            </w:pPr>
            <w:r/>
            <w:r>
              <w:rPr>
                <w:rFonts w:ascii="Aptos" w:hAnsi="Aptos"/>
                <w:b/>
                <w:color w:val="FFFFFF"/>
                <w:sz w:val="17"/>
              </w:rPr>
              <w:t>Term</w:t>
            </w:r>
          </w:p>
        </w:tc>
        <w:tc>
          <w:tcPr>
            <w:tcW w:type="dxa" w:w="7200"/>
            <w:vAlign w:val="center"/>
            <w:tcMar>
              <w:top w:w="80" w:type="dxa"/>
              <w:start w:w="90" w:type="dxa"/>
              <w:bottom w:w="80" w:type="dxa"/>
              <w:end w:w="90" w:type="dxa"/>
            </w:tcMar>
            <w:shd w:fill="17365D"/>
          </w:tcPr>
          <w:p>
            <w:pPr>
              <w:jc w:val="center"/>
            </w:pPr>
            <w:r/>
            <w:r>
              <w:rPr>
                <w:rFonts w:ascii="Aptos" w:hAnsi="Aptos"/>
                <w:b/>
                <w:color w:val="FFFFFF"/>
                <w:sz w:val="17"/>
              </w:rPr>
              <w:t>Meaning</w:t>
            </w:r>
          </w:p>
        </w:tc>
      </w:tr>
      <w:tr>
        <w:tc>
          <w:tcPr>
            <w:tcW w:type="dxa" w:w="3024"/>
            <w:vAlign w:val="center"/>
            <w:tcMar>
              <w:top w:w="80" w:type="dxa"/>
              <w:start w:w="90" w:type="dxa"/>
              <w:bottom w:w="80" w:type="dxa"/>
              <w:end w:w="90" w:type="dxa"/>
            </w:tcMar>
          </w:tcPr>
          <w:p>
            <w:r/>
            <w:r>
              <w:rPr>
                <w:rFonts w:ascii="Aptos" w:hAnsi="Aptos"/>
                <w:b/>
                <w:color w:val="000000"/>
                <w:sz w:val="16"/>
              </w:rPr>
              <w:t>Critical function</w:t>
            </w:r>
          </w:p>
        </w:tc>
        <w:tc>
          <w:tcPr>
            <w:tcW w:type="dxa" w:w="10944"/>
            <w:vAlign w:val="center"/>
            <w:tcMar>
              <w:top w:w="80" w:type="dxa"/>
              <w:start w:w="90" w:type="dxa"/>
              <w:bottom w:w="80" w:type="dxa"/>
              <w:end w:w="90" w:type="dxa"/>
            </w:tcMar>
          </w:tcPr>
          <w:p>
            <w:r/>
            <w:r>
              <w:rPr>
                <w:rFonts w:ascii="Aptos" w:hAnsi="Aptos"/>
                <w:b w:val="0"/>
                <w:color w:val="000000"/>
                <w:sz w:val="16"/>
              </w:rPr>
              <w:t>An activity that must continue or be restored within a defined period because interruption would have serious consequences for the business, employees, customers, finances, legal obligations, reputation or recovery.</w:t>
            </w:r>
          </w:p>
        </w:tc>
      </w:tr>
      <w:tr>
        <w:tc>
          <w:tcPr>
            <w:tcW w:type="dxa" w:w="3024"/>
            <w:vAlign w:val="center"/>
            <w:tcMar>
              <w:top w:w="80" w:type="dxa"/>
              <w:start w:w="90" w:type="dxa"/>
              <w:bottom w:w="80" w:type="dxa"/>
              <w:end w:w="90" w:type="dxa"/>
            </w:tcMar>
          </w:tcPr>
          <w:p>
            <w:r/>
            <w:r>
              <w:rPr>
                <w:rFonts w:ascii="Aptos" w:hAnsi="Aptos"/>
                <w:b/>
                <w:color w:val="000000"/>
                <w:sz w:val="16"/>
              </w:rPr>
              <w:t>Maximum Acceptable Downtime</w:t>
            </w:r>
          </w:p>
        </w:tc>
        <w:tc>
          <w:tcPr>
            <w:tcW w:type="dxa" w:w="10944"/>
            <w:vAlign w:val="center"/>
            <w:tcMar>
              <w:top w:w="80" w:type="dxa"/>
              <w:start w:w="90" w:type="dxa"/>
              <w:bottom w:w="80" w:type="dxa"/>
              <w:end w:w="90" w:type="dxa"/>
            </w:tcMar>
          </w:tcPr>
          <w:p>
            <w:r/>
            <w:r>
              <w:rPr>
                <w:rFonts w:ascii="Aptos" w:hAnsi="Aptos"/>
                <w:b w:val="0"/>
                <w:color w:val="000000"/>
                <w:sz w:val="16"/>
              </w:rPr>
              <w:t>The latest interruption the business can reasonably tolerate before the consequences become unacceptable.</w:t>
            </w:r>
          </w:p>
        </w:tc>
      </w:tr>
      <w:tr>
        <w:tc>
          <w:tcPr>
            <w:tcW w:type="dxa" w:w="3024"/>
            <w:vAlign w:val="center"/>
            <w:tcMar>
              <w:top w:w="80" w:type="dxa"/>
              <w:start w:w="90" w:type="dxa"/>
              <w:bottom w:w="80" w:type="dxa"/>
              <w:end w:w="90" w:type="dxa"/>
            </w:tcMar>
          </w:tcPr>
          <w:p>
            <w:r/>
            <w:r>
              <w:rPr>
                <w:rFonts w:ascii="Aptos" w:hAnsi="Aptos"/>
                <w:b/>
                <w:color w:val="000000"/>
                <w:sz w:val="16"/>
              </w:rPr>
              <w:t>Target Recovery Time</w:t>
            </w:r>
          </w:p>
        </w:tc>
        <w:tc>
          <w:tcPr>
            <w:tcW w:type="dxa" w:w="10944"/>
            <w:vAlign w:val="center"/>
            <w:tcMar>
              <w:top w:w="80" w:type="dxa"/>
              <w:start w:w="90" w:type="dxa"/>
              <w:bottom w:w="80" w:type="dxa"/>
              <w:end w:w="90" w:type="dxa"/>
            </w:tcMar>
          </w:tcPr>
          <w:p>
            <w:r/>
            <w:r>
              <w:rPr>
                <w:rFonts w:ascii="Aptos" w:hAnsi="Aptos"/>
                <w:b w:val="0"/>
                <w:color w:val="000000"/>
                <w:sz w:val="16"/>
              </w:rPr>
              <w:t>When the business aims to restore the function. This is sometimes referred to as a Recovery Time Objective (RTO).</w:t>
            </w:r>
          </w:p>
        </w:tc>
      </w:tr>
      <w:tr>
        <w:tc>
          <w:tcPr>
            <w:tcW w:type="dxa" w:w="3024"/>
            <w:vAlign w:val="center"/>
            <w:tcMar>
              <w:top w:w="80" w:type="dxa"/>
              <w:start w:w="90" w:type="dxa"/>
              <w:bottom w:w="80" w:type="dxa"/>
              <w:end w:w="90" w:type="dxa"/>
            </w:tcMar>
          </w:tcPr>
          <w:p>
            <w:r/>
            <w:r>
              <w:rPr>
                <w:rFonts w:ascii="Aptos" w:hAnsi="Aptos"/>
                <w:b/>
                <w:color w:val="000000"/>
                <w:sz w:val="16"/>
              </w:rPr>
              <w:t>Recovery priority</w:t>
            </w:r>
          </w:p>
        </w:tc>
        <w:tc>
          <w:tcPr>
            <w:tcW w:type="dxa" w:w="10944"/>
            <w:vAlign w:val="center"/>
            <w:tcMar>
              <w:top w:w="80" w:type="dxa"/>
              <w:start w:w="90" w:type="dxa"/>
              <w:bottom w:w="80" w:type="dxa"/>
              <w:end w:w="90" w:type="dxa"/>
            </w:tcMar>
          </w:tcPr>
          <w:p>
            <w:r/>
            <w:r>
              <w:rPr>
                <w:rFonts w:ascii="Aptos" w:hAnsi="Aptos"/>
                <w:b w:val="0"/>
                <w:color w:val="000000"/>
                <w:sz w:val="16"/>
              </w:rPr>
              <w:t>The order in which functions should be maintained or restored based on how quickly they are needed.</w:t>
            </w:r>
          </w:p>
        </w:tc>
      </w:tr>
    </w:tbl>
    <w:p>
      <w:pPr>
        <w:spacing w:before="60"/>
      </w:pPr>
      <w:r>
        <w:rPr>
          <w:b/>
          <w:color w:val="17365D"/>
        </w:rPr>
        <w:t xml:space="preserve">Important: </w:t>
      </w:r>
      <w:r>
        <w:rPr>
          <w:sz w:val="18"/>
        </w:rPr>
        <w:t>Do not make everything critical. If everything is critical, nothing has actually been prioritized.</w:t>
      </w:r>
    </w:p>
    <w:p>
      <w:pPr>
        <w:pageBreakBefore/>
        <w:spacing w:after="20"/>
        <w:jc w:val="center"/>
      </w:pPr>
      <w:r>
        <w:rPr>
          <w:b/>
          <w:color w:val="17365D"/>
          <w:sz w:val="30"/>
        </w:rPr>
        <w:t>SIMPLIFIED BUSINESS IMPACT ANALYSIS</w:t>
      </w:r>
    </w:p>
    <w:p>
      <w:pPr>
        <w:spacing w:after="100"/>
        <w:jc w:val="center"/>
      </w:pPr>
      <w:r>
        <w:rPr>
          <w:sz w:val="18"/>
        </w:rPr>
        <w:t>Use one row for each critical function. Start with three to five functions if you are doing this for the first time.</w:t>
      </w:r>
    </w:p>
    <w:tbl>
      <w:tblPr>
        <w:tblW w:type="auto" w:w="0"/>
        <w:jc w:val="center"/>
        <w:tblLayout w:type="fixed"/>
        <w:tblLook w:firstColumn="1" w:firstRow="1" w:lastColumn="0" w:lastRow="0" w:noHBand="0" w:noVBand="1" w:val="04A0"/>
      </w:tblPr>
      <w:tblGrid>
        <w:gridCol w:w="1944"/>
        <w:gridCol w:w="2232"/>
        <w:gridCol w:w="2088"/>
        <w:gridCol w:w="1944"/>
        <w:gridCol w:w="1152"/>
        <w:gridCol w:w="1656"/>
        <w:gridCol w:w="1512"/>
        <w:gridCol w:w="1152"/>
      </w:tblGrid>
      <w:tr>
        <w:tc>
          <w:tcPr>
            <w:tcW w:type="dxa" w:w="1800"/>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shd w:fill="17365D"/>
          </w:tcPr>
          <w:p>
            <w:pPr>
              <w:jc w:val="center"/>
            </w:pPr>
            <w:r/>
            <w:r>
              <w:rPr>
                <w:rFonts w:ascii="Aptos" w:hAnsi="Aptos"/>
                <w:b/>
                <w:color w:val="FFFFFF"/>
                <w:sz w:val="15"/>
              </w:rPr>
              <w:t>Critical Function</w:t>
            </w:r>
          </w:p>
        </w:tc>
        <w:tc>
          <w:tcPr>
            <w:tcW w:type="dxa" w:w="1800"/>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shd w:fill="17365D"/>
          </w:tcPr>
          <w:p>
            <w:pPr>
              <w:jc w:val="center"/>
            </w:pPr>
            <w:r/>
            <w:r>
              <w:rPr>
                <w:rFonts w:ascii="Aptos" w:hAnsi="Aptos"/>
                <w:b/>
                <w:color w:val="FFFFFF"/>
                <w:sz w:val="15"/>
              </w:rPr>
              <w:t>Impact if Interrupted</w:t>
            </w:r>
          </w:p>
        </w:tc>
        <w:tc>
          <w:tcPr>
            <w:tcW w:type="dxa" w:w="1800"/>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shd w:fill="17365D"/>
          </w:tcPr>
          <w:p>
            <w:pPr>
              <w:jc w:val="center"/>
            </w:pPr>
            <w:r/>
            <w:r>
              <w:rPr>
                <w:rFonts w:ascii="Aptos" w:hAnsi="Aptos"/>
                <w:b/>
                <w:color w:val="FFFFFF"/>
                <w:sz w:val="15"/>
              </w:rPr>
              <w:t>What Does It Depend On?</w:t>
            </w:r>
          </w:p>
        </w:tc>
        <w:tc>
          <w:tcPr>
            <w:tcW w:type="dxa" w:w="1800"/>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shd w:fill="17365D"/>
          </w:tcPr>
          <w:p>
            <w:pPr>
              <w:jc w:val="center"/>
            </w:pPr>
            <w:r/>
            <w:r>
              <w:rPr>
                <w:rFonts w:ascii="Aptos" w:hAnsi="Aptos"/>
                <w:b/>
                <w:color w:val="FFFFFF"/>
                <w:sz w:val="15"/>
              </w:rPr>
              <w:t>What Depends on It?</w:t>
            </w:r>
          </w:p>
        </w:tc>
        <w:tc>
          <w:tcPr>
            <w:tcW w:type="dxa" w:w="1800"/>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shd w:fill="17365D"/>
          </w:tcPr>
          <w:p>
            <w:pPr>
              <w:jc w:val="center"/>
            </w:pPr>
            <w:r/>
            <w:r>
              <w:rPr>
                <w:rFonts w:ascii="Aptos" w:hAnsi="Aptos"/>
                <w:b/>
                <w:color w:val="FFFFFF"/>
                <w:sz w:val="15"/>
              </w:rPr>
              <w:t>Minimum Staff</w:t>
            </w:r>
          </w:p>
        </w:tc>
        <w:tc>
          <w:tcPr>
            <w:tcW w:type="dxa" w:w="1800"/>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shd w:fill="17365D"/>
          </w:tcPr>
          <w:p>
            <w:pPr>
              <w:jc w:val="center"/>
            </w:pPr>
            <w:r/>
            <w:r>
              <w:rPr>
                <w:rFonts w:ascii="Aptos" w:hAnsi="Aptos"/>
                <w:b/>
                <w:color w:val="FFFFFF"/>
                <w:sz w:val="15"/>
              </w:rPr>
              <w:t>Maximum Acceptable Downtime</w:t>
            </w:r>
          </w:p>
        </w:tc>
        <w:tc>
          <w:tcPr>
            <w:tcW w:type="dxa" w:w="1800"/>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shd w:fill="17365D"/>
          </w:tcPr>
          <w:p>
            <w:pPr>
              <w:jc w:val="center"/>
            </w:pPr>
            <w:r/>
            <w:r>
              <w:rPr>
                <w:rFonts w:ascii="Aptos" w:hAnsi="Aptos"/>
                <w:b/>
                <w:color w:val="FFFFFF"/>
                <w:sz w:val="15"/>
              </w:rPr>
              <w:t>Target Recovery Time</w:t>
            </w:r>
          </w:p>
        </w:tc>
        <w:tc>
          <w:tcPr>
            <w:tcW w:type="dxa" w:w="1800"/>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shd w:fill="17365D"/>
          </w:tcPr>
          <w:p>
            <w:pPr>
              <w:jc w:val="center"/>
            </w:pPr>
            <w:r/>
            <w:r>
              <w:rPr>
                <w:rFonts w:ascii="Aptos" w:hAnsi="Aptos"/>
                <w:b/>
                <w:color w:val="FFFFFF"/>
                <w:sz w:val="15"/>
              </w:rPr>
              <w:t>Recovery Priority</w:t>
            </w:r>
          </w:p>
        </w:tc>
      </w:tr>
      <w:tr>
        <w:tc>
          <w:tcPr>
            <w:tcW w:type="dxa" w:w="1944"/>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r/>
            <w:r>
              <w:rPr>
                <w:rFonts w:ascii="Aptos" w:hAnsi="Aptos"/>
                <w:b w:val="0"/>
                <w:color w:val="000000"/>
                <w:sz w:val="16"/>
              </w:rPr>
              <w:br/>
              <w:br/>
              <w:br/>
            </w:r>
          </w:p>
        </w:tc>
        <w:tc>
          <w:tcPr>
            <w:tcW w:type="dxa" w:w="2232"/>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r/>
            <w:r>
              <w:rPr>
                <w:rFonts w:ascii="Aptos" w:hAnsi="Aptos"/>
                <w:b w:val="0"/>
                <w:color w:val="000000"/>
                <w:sz w:val="16"/>
              </w:rPr>
              <w:br/>
              <w:br/>
              <w:br/>
            </w:r>
          </w:p>
        </w:tc>
        <w:tc>
          <w:tcPr>
            <w:tcW w:type="dxa" w:w="2088"/>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r/>
            <w:r>
              <w:rPr>
                <w:rFonts w:ascii="Aptos" w:hAnsi="Aptos"/>
                <w:b w:val="0"/>
                <w:color w:val="000000"/>
                <w:sz w:val="16"/>
              </w:rPr>
              <w:br/>
              <w:br/>
              <w:br/>
            </w:r>
          </w:p>
        </w:tc>
        <w:tc>
          <w:tcPr>
            <w:tcW w:type="dxa" w:w="1944"/>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r/>
            <w:r>
              <w:rPr>
                <w:rFonts w:ascii="Aptos" w:hAnsi="Aptos"/>
                <w:b w:val="0"/>
                <w:color w:val="000000"/>
                <w:sz w:val="16"/>
              </w:rPr>
              <w:br/>
              <w:br/>
              <w:br/>
            </w:r>
          </w:p>
        </w:tc>
        <w:tc>
          <w:tcPr>
            <w:tcW w:type="dxa" w:w="1152"/>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pPr>
              <w:jc w:val="center"/>
            </w:pPr>
            <w:r/>
            <w:r>
              <w:rPr>
                <w:rFonts w:ascii="Aptos" w:hAnsi="Aptos"/>
                <w:b w:val="0"/>
                <w:color w:val="000000"/>
                <w:sz w:val="16"/>
              </w:rPr>
              <w:br/>
              <w:br/>
              <w:br/>
            </w:r>
          </w:p>
        </w:tc>
        <w:tc>
          <w:tcPr>
            <w:tcW w:type="dxa" w:w="1656"/>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pPr>
              <w:jc w:val="center"/>
            </w:pPr>
            <w:r/>
            <w:r>
              <w:rPr>
                <w:rFonts w:ascii="Aptos" w:hAnsi="Aptos"/>
                <w:b w:val="0"/>
                <w:color w:val="000000"/>
                <w:sz w:val="16"/>
              </w:rPr>
              <w:br/>
              <w:br/>
              <w:br/>
            </w:r>
          </w:p>
        </w:tc>
        <w:tc>
          <w:tcPr>
            <w:tcW w:type="dxa" w:w="1512"/>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pPr>
              <w:jc w:val="center"/>
            </w:pPr>
            <w:r/>
            <w:r>
              <w:rPr>
                <w:rFonts w:ascii="Aptos" w:hAnsi="Aptos"/>
                <w:b w:val="0"/>
                <w:color w:val="000000"/>
                <w:sz w:val="16"/>
              </w:rPr>
              <w:br/>
              <w:br/>
              <w:br/>
            </w:r>
          </w:p>
        </w:tc>
        <w:tc>
          <w:tcPr>
            <w:tcW w:type="dxa" w:w="1152"/>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pPr>
              <w:jc w:val="center"/>
            </w:pPr>
            <w:r/>
            <w:r>
              <w:rPr>
                <w:rFonts w:ascii="Aptos" w:hAnsi="Aptos"/>
                <w:b w:val="0"/>
                <w:color w:val="000000"/>
                <w:sz w:val="16"/>
              </w:rPr>
              <w:br/>
              <w:br/>
              <w:br/>
            </w:r>
          </w:p>
        </w:tc>
      </w:tr>
      <w:tr>
        <w:tc>
          <w:tcPr>
            <w:tcW w:type="dxa" w:w="1944"/>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r/>
            <w:r>
              <w:rPr>
                <w:rFonts w:ascii="Aptos" w:hAnsi="Aptos"/>
                <w:b w:val="0"/>
                <w:color w:val="000000"/>
                <w:sz w:val="16"/>
              </w:rPr>
              <w:br/>
              <w:br/>
              <w:br/>
            </w:r>
          </w:p>
        </w:tc>
        <w:tc>
          <w:tcPr>
            <w:tcW w:type="dxa" w:w="2232"/>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r/>
            <w:r>
              <w:rPr>
                <w:rFonts w:ascii="Aptos" w:hAnsi="Aptos"/>
                <w:b w:val="0"/>
                <w:color w:val="000000"/>
                <w:sz w:val="16"/>
              </w:rPr>
              <w:br/>
              <w:br/>
              <w:br/>
            </w:r>
          </w:p>
        </w:tc>
        <w:tc>
          <w:tcPr>
            <w:tcW w:type="dxa" w:w="2088"/>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r/>
            <w:r>
              <w:rPr>
                <w:rFonts w:ascii="Aptos" w:hAnsi="Aptos"/>
                <w:b w:val="0"/>
                <w:color w:val="000000"/>
                <w:sz w:val="16"/>
              </w:rPr>
              <w:br/>
              <w:br/>
              <w:br/>
            </w:r>
          </w:p>
        </w:tc>
        <w:tc>
          <w:tcPr>
            <w:tcW w:type="dxa" w:w="1944"/>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r/>
            <w:r>
              <w:rPr>
                <w:rFonts w:ascii="Aptos" w:hAnsi="Aptos"/>
                <w:b w:val="0"/>
                <w:color w:val="000000"/>
                <w:sz w:val="16"/>
              </w:rPr>
              <w:br/>
              <w:br/>
              <w:br/>
            </w:r>
          </w:p>
        </w:tc>
        <w:tc>
          <w:tcPr>
            <w:tcW w:type="dxa" w:w="1152"/>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pPr>
              <w:jc w:val="center"/>
            </w:pPr>
            <w:r/>
            <w:r>
              <w:rPr>
                <w:rFonts w:ascii="Aptos" w:hAnsi="Aptos"/>
                <w:b w:val="0"/>
                <w:color w:val="000000"/>
                <w:sz w:val="16"/>
              </w:rPr>
              <w:br/>
              <w:br/>
              <w:br/>
            </w:r>
          </w:p>
        </w:tc>
        <w:tc>
          <w:tcPr>
            <w:tcW w:type="dxa" w:w="1656"/>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pPr>
              <w:jc w:val="center"/>
            </w:pPr>
            <w:r/>
            <w:r>
              <w:rPr>
                <w:rFonts w:ascii="Aptos" w:hAnsi="Aptos"/>
                <w:b w:val="0"/>
                <w:color w:val="000000"/>
                <w:sz w:val="16"/>
              </w:rPr>
              <w:br/>
              <w:br/>
              <w:br/>
            </w:r>
          </w:p>
        </w:tc>
        <w:tc>
          <w:tcPr>
            <w:tcW w:type="dxa" w:w="1512"/>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pPr>
              <w:jc w:val="center"/>
            </w:pPr>
            <w:r/>
            <w:r>
              <w:rPr>
                <w:rFonts w:ascii="Aptos" w:hAnsi="Aptos"/>
                <w:b w:val="0"/>
                <w:color w:val="000000"/>
                <w:sz w:val="16"/>
              </w:rPr>
              <w:br/>
              <w:br/>
              <w:br/>
            </w:r>
          </w:p>
        </w:tc>
        <w:tc>
          <w:tcPr>
            <w:tcW w:type="dxa" w:w="1152"/>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pPr>
              <w:jc w:val="center"/>
            </w:pPr>
            <w:r/>
            <w:r>
              <w:rPr>
                <w:rFonts w:ascii="Aptos" w:hAnsi="Aptos"/>
                <w:b w:val="0"/>
                <w:color w:val="000000"/>
                <w:sz w:val="16"/>
              </w:rPr>
              <w:br/>
              <w:br/>
              <w:br/>
            </w:r>
          </w:p>
        </w:tc>
      </w:tr>
      <w:tr>
        <w:tc>
          <w:tcPr>
            <w:tcW w:type="dxa" w:w="1944"/>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r/>
            <w:r>
              <w:rPr>
                <w:rFonts w:ascii="Aptos" w:hAnsi="Aptos"/>
                <w:b w:val="0"/>
                <w:color w:val="000000"/>
                <w:sz w:val="16"/>
              </w:rPr>
              <w:br/>
              <w:br/>
              <w:br/>
            </w:r>
          </w:p>
        </w:tc>
        <w:tc>
          <w:tcPr>
            <w:tcW w:type="dxa" w:w="2232"/>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r/>
            <w:r>
              <w:rPr>
                <w:rFonts w:ascii="Aptos" w:hAnsi="Aptos"/>
                <w:b w:val="0"/>
                <w:color w:val="000000"/>
                <w:sz w:val="16"/>
              </w:rPr>
              <w:br/>
              <w:br/>
              <w:br/>
            </w:r>
          </w:p>
        </w:tc>
        <w:tc>
          <w:tcPr>
            <w:tcW w:type="dxa" w:w="2088"/>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r/>
            <w:r>
              <w:rPr>
                <w:rFonts w:ascii="Aptos" w:hAnsi="Aptos"/>
                <w:b w:val="0"/>
                <w:color w:val="000000"/>
                <w:sz w:val="16"/>
              </w:rPr>
              <w:br/>
              <w:br/>
              <w:br/>
            </w:r>
          </w:p>
        </w:tc>
        <w:tc>
          <w:tcPr>
            <w:tcW w:type="dxa" w:w="1944"/>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r/>
            <w:r>
              <w:rPr>
                <w:rFonts w:ascii="Aptos" w:hAnsi="Aptos"/>
                <w:b w:val="0"/>
                <w:color w:val="000000"/>
                <w:sz w:val="16"/>
              </w:rPr>
              <w:br/>
              <w:br/>
              <w:br/>
            </w:r>
          </w:p>
        </w:tc>
        <w:tc>
          <w:tcPr>
            <w:tcW w:type="dxa" w:w="1152"/>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pPr>
              <w:jc w:val="center"/>
            </w:pPr>
            <w:r/>
            <w:r>
              <w:rPr>
                <w:rFonts w:ascii="Aptos" w:hAnsi="Aptos"/>
                <w:b w:val="0"/>
                <w:color w:val="000000"/>
                <w:sz w:val="16"/>
              </w:rPr>
              <w:br/>
              <w:br/>
              <w:br/>
            </w:r>
          </w:p>
        </w:tc>
        <w:tc>
          <w:tcPr>
            <w:tcW w:type="dxa" w:w="1656"/>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pPr>
              <w:jc w:val="center"/>
            </w:pPr>
            <w:r/>
            <w:r>
              <w:rPr>
                <w:rFonts w:ascii="Aptos" w:hAnsi="Aptos"/>
                <w:b w:val="0"/>
                <w:color w:val="000000"/>
                <w:sz w:val="16"/>
              </w:rPr>
              <w:br/>
              <w:br/>
              <w:br/>
            </w:r>
          </w:p>
        </w:tc>
        <w:tc>
          <w:tcPr>
            <w:tcW w:type="dxa" w:w="1512"/>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pPr>
              <w:jc w:val="center"/>
            </w:pPr>
            <w:r/>
            <w:r>
              <w:rPr>
                <w:rFonts w:ascii="Aptos" w:hAnsi="Aptos"/>
                <w:b w:val="0"/>
                <w:color w:val="000000"/>
                <w:sz w:val="16"/>
              </w:rPr>
              <w:br/>
              <w:br/>
              <w:br/>
            </w:r>
          </w:p>
        </w:tc>
        <w:tc>
          <w:tcPr>
            <w:tcW w:type="dxa" w:w="1152"/>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pPr>
              <w:jc w:val="center"/>
            </w:pPr>
            <w:r/>
            <w:r>
              <w:rPr>
                <w:rFonts w:ascii="Aptos" w:hAnsi="Aptos"/>
                <w:b w:val="0"/>
                <w:color w:val="000000"/>
                <w:sz w:val="16"/>
              </w:rPr>
              <w:br/>
              <w:br/>
              <w:br/>
            </w:r>
          </w:p>
        </w:tc>
      </w:tr>
      <w:tr>
        <w:tc>
          <w:tcPr>
            <w:tcW w:type="dxa" w:w="1944"/>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r/>
            <w:r>
              <w:rPr>
                <w:rFonts w:ascii="Aptos" w:hAnsi="Aptos"/>
                <w:b w:val="0"/>
                <w:color w:val="000000"/>
                <w:sz w:val="16"/>
              </w:rPr>
              <w:br/>
              <w:br/>
              <w:br/>
            </w:r>
          </w:p>
        </w:tc>
        <w:tc>
          <w:tcPr>
            <w:tcW w:type="dxa" w:w="2232"/>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r/>
            <w:r>
              <w:rPr>
                <w:rFonts w:ascii="Aptos" w:hAnsi="Aptos"/>
                <w:b w:val="0"/>
                <w:color w:val="000000"/>
                <w:sz w:val="16"/>
              </w:rPr>
              <w:br/>
              <w:br/>
              <w:br/>
            </w:r>
          </w:p>
        </w:tc>
        <w:tc>
          <w:tcPr>
            <w:tcW w:type="dxa" w:w="2088"/>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r/>
            <w:r>
              <w:rPr>
                <w:rFonts w:ascii="Aptos" w:hAnsi="Aptos"/>
                <w:b w:val="0"/>
                <w:color w:val="000000"/>
                <w:sz w:val="16"/>
              </w:rPr>
              <w:br/>
              <w:br/>
              <w:br/>
            </w:r>
          </w:p>
        </w:tc>
        <w:tc>
          <w:tcPr>
            <w:tcW w:type="dxa" w:w="1944"/>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r/>
            <w:r>
              <w:rPr>
                <w:rFonts w:ascii="Aptos" w:hAnsi="Aptos"/>
                <w:b w:val="0"/>
                <w:color w:val="000000"/>
                <w:sz w:val="16"/>
              </w:rPr>
              <w:br/>
              <w:br/>
              <w:br/>
            </w:r>
          </w:p>
        </w:tc>
        <w:tc>
          <w:tcPr>
            <w:tcW w:type="dxa" w:w="1152"/>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pPr>
              <w:jc w:val="center"/>
            </w:pPr>
            <w:r/>
            <w:r>
              <w:rPr>
                <w:rFonts w:ascii="Aptos" w:hAnsi="Aptos"/>
                <w:b w:val="0"/>
                <w:color w:val="000000"/>
                <w:sz w:val="16"/>
              </w:rPr>
              <w:br/>
              <w:br/>
              <w:br/>
            </w:r>
          </w:p>
        </w:tc>
        <w:tc>
          <w:tcPr>
            <w:tcW w:type="dxa" w:w="1656"/>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pPr>
              <w:jc w:val="center"/>
            </w:pPr>
            <w:r/>
            <w:r>
              <w:rPr>
                <w:rFonts w:ascii="Aptos" w:hAnsi="Aptos"/>
                <w:b w:val="0"/>
                <w:color w:val="000000"/>
                <w:sz w:val="16"/>
              </w:rPr>
              <w:br/>
              <w:br/>
              <w:br/>
            </w:r>
          </w:p>
        </w:tc>
        <w:tc>
          <w:tcPr>
            <w:tcW w:type="dxa" w:w="1512"/>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pPr>
              <w:jc w:val="center"/>
            </w:pPr>
            <w:r/>
            <w:r>
              <w:rPr>
                <w:rFonts w:ascii="Aptos" w:hAnsi="Aptos"/>
                <w:b w:val="0"/>
                <w:color w:val="000000"/>
                <w:sz w:val="16"/>
              </w:rPr>
              <w:br/>
              <w:br/>
              <w:br/>
            </w:r>
          </w:p>
        </w:tc>
        <w:tc>
          <w:tcPr>
            <w:tcW w:type="dxa" w:w="1152"/>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pPr>
              <w:jc w:val="center"/>
            </w:pPr>
            <w:r/>
            <w:r>
              <w:rPr>
                <w:rFonts w:ascii="Aptos" w:hAnsi="Aptos"/>
                <w:b w:val="0"/>
                <w:color w:val="000000"/>
                <w:sz w:val="16"/>
              </w:rPr>
              <w:br/>
              <w:br/>
              <w:br/>
            </w:r>
          </w:p>
        </w:tc>
      </w:tr>
    </w:tbl>
    <w:p>
      <w:pPr>
        <w:pStyle w:val="Heading1"/>
        <w:pageBreakBefore/>
      </w:pPr>
      <w:r>
        <w:t>Recovery Priority Guide</w:t>
      </w:r>
    </w:p>
    <w:tbl>
      <w:tblPr>
        <w:tblW w:type="auto" w:w="0"/>
        <w:jc w:val="center"/>
        <w:tblLayout w:type="fixed"/>
        <w:tblLook w:firstColumn="1" w:firstRow="1" w:lastColumn="0" w:lastRow="0" w:noHBand="0" w:noVBand="1" w:val="04A0"/>
      </w:tblPr>
      <w:tblGrid>
        <w:gridCol w:w="864"/>
        <w:gridCol w:w="1800"/>
        <w:gridCol w:w="11088"/>
      </w:tblGrid>
      <w:tr>
        <w:tc>
          <w:tcPr>
            <w:tcW w:type="dxa" w:w="4800"/>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shd w:fill="F3F6F9"/>
          </w:tcPr>
          <w:p>
            <w:pPr>
              <w:jc w:val="center"/>
            </w:pPr>
            <w:r/>
            <w:r>
              <w:rPr>
                <w:rFonts w:ascii="Aptos" w:hAnsi="Aptos"/>
                <w:b/>
                <w:color w:val="17365D"/>
                <w:sz w:val="17"/>
              </w:rPr>
              <w:t>1</w:t>
            </w:r>
          </w:p>
        </w:tc>
        <w:tc>
          <w:tcPr>
            <w:tcW w:type="dxa" w:w="4800"/>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r/>
            <w:r>
              <w:rPr>
                <w:rFonts w:ascii="Aptos" w:hAnsi="Aptos"/>
                <w:b/>
                <w:color w:val="000000"/>
                <w:sz w:val="17"/>
              </w:rPr>
              <w:t>CRITICAL</w:t>
            </w:r>
          </w:p>
        </w:tc>
        <w:tc>
          <w:tcPr>
            <w:tcW w:type="dxa" w:w="4800"/>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r/>
            <w:r>
              <w:rPr>
                <w:rFonts w:ascii="Aptos" w:hAnsi="Aptos"/>
                <w:b w:val="0"/>
                <w:color w:val="000000"/>
                <w:sz w:val="17"/>
              </w:rPr>
              <w:t>Must be maintained or restored very quickly.</w:t>
            </w:r>
          </w:p>
        </w:tc>
      </w:tr>
      <w:tr>
        <w:tc>
          <w:tcPr>
            <w:tcW w:type="dxa" w:w="4800"/>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shd w:fill="F3F6F9"/>
          </w:tcPr>
          <w:p>
            <w:pPr>
              <w:jc w:val="center"/>
            </w:pPr>
            <w:r/>
            <w:r>
              <w:rPr>
                <w:rFonts w:ascii="Aptos" w:hAnsi="Aptos"/>
                <w:b/>
                <w:color w:val="17365D"/>
                <w:sz w:val="17"/>
              </w:rPr>
              <w:t>2</w:t>
            </w:r>
          </w:p>
        </w:tc>
        <w:tc>
          <w:tcPr>
            <w:tcW w:type="dxa" w:w="4800"/>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r/>
            <w:r>
              <w:rPr>
                <w:rFonts w:ascii="Aptos" w:hAnsi="Aptos"/>
                <w:b/>
                <w:color w:val="000000"/>
                <w:sz w:val="17"/>
              </w:rPr>
              <w:t>HIGH</w:t>
            </w:r>
          </w:p>
        </w:tc>
        <w:tc>
          <w:tcPr>
            <w:tcW w:type="dxa" w:w="4800"/>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r/>
            <w:r>
              <w:rPr>
                <w:rFonts w:ascii="Aptos" w:hAnsi="Aptos"/>
                <w:b w:val="0"/>
                <w:color w:val="000000"/>
                <w:sz w:val="17"/>
              </w:rPr>
              <w:t>Can be interrupted briefly, but significant consequences occur if restoration is delayed.</w:t>
            </w:r>
          </w:p>
        </w:tc>
      </w:tr>
      <w:tr>
        <w:tc>
          <w:tcPr>
            <w:tcW w:type="dxa" w:w="4800"/>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shd w:fill="F3F6F9"/>
          </w:tcPr>
          <w:p>
            <w:pPr>
              <w:jc w:val="center"/>
            </w:pPr>
            <w:r/>
            <w:r>
              <w:rPr>
                <w:rFonts w:ascii="Aptos" w:hAnsi="Aptos"/>
                <w:b/>
                <w:color w:val="17365D"/>
                <w:sz w:val="17"/>
              </w:rPr>
              <w:t>3</w:t>
            </w:r>
          </w:p>
        </w:tc>
        <w:tc>
          <w:tcPr>
            <w:tcW w:type="dxa" w:w="4800"/>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r/>
            <w:r>
              <w:rPr>
                <w:rFonts w:ascii="Aptos" w:hAnsi="Aptos"/>
                <w:b/>
                <w:color w:val="000000"/>
                <w:sz w:val="17"/>
              </w:rPr>
              <w:t>MEDIUM</w:t>
            </w:r>
          </w:p>
        </w:tc>
        <w:tc>
          <w:tcPr>
            <w:tcW w:type="dxa" w:w="4800"/>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r/>
            <w:r>
              <w:rPr>
                <w:rFonts w:ascii="Aptos" w:hAnsi="Aptos"/>
                <w:b w:val="0"/>
                <w:color w:val="000000"/>
                <w:sz w:val="17"/>
              </w:rPr>
              <w:t>Important, but can operate at reduced capacity or be delayed temporarily.</w:t>
            </w:r>
          </w:p>
        </w:tc>
      </w:tr>
      <w:tr>
        <w:tc>
          <w:tcPr>
            <w:tcW w:type="dxa" w:w="4800"/>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shd w:fill="F3F6F9"/>
          </w:tcPr>
          <w:p>
            <w:pPr>
              <w:jc w:val="center"/>
            </w:pPr>
            <w:r/>
            <w:r>
              <w:rPr>
                <w:rFonts w:ascii="Aptos" w:hAnsi="Aptos"/>
                <w:b/>
                <w:color w:val="17365D"/>
                <w:sz w:val="17"/>
              </w:rPr>
              <w:t>4</w:t>
            </w:r>
          </w:p>
        </w:tc>
        <w:tc>
          <w:tcPr>
            <w:tcW w:type="dxa" w:w="4800"/>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r/>
            <w:r>
              <w:rPr>
                <w:rFonts w:ascii="Aptos" w:hAnsi="Aptos"/>
                <w:b/>
                <w:color w:val="000000"/>
                <w:sz w:val="17"/>
              </w:rPr>
              <w:t>LOW</w:t>
            </w:r>
          </w:p>
        </w:tc>
        <w:tc>
          <w:tcPr>
            <w:tcW w:type="dxa" w:w="4800"/>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r/>
            <w:r>
              <w:rPr>
                <w:rFonts w:ascii="Aptos" w:hAnsi="Aptos"/>
                <w:b w:val="0"/>
                <w:color w:val="000000"/>
                <w:sz w:val="17"/>
              </w:rPr>
              <w:t>Can be suspended while higher priorities are restored.</w:t>
            </w:r>
          </w:p>
        </w:tc>
      </w:tr>
      <w:tr>
        <w:tc>
          <w:tcPr>
            <w:tcW w:type="dxa" w:w="4800"/>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shd w:fill="F3F6F9"/>
          </w:tcPr>
          <w:p>
            <w:pPr>
              <w:jc w:val="center"/>
            </w:pPr>
            <w:r/>
            <w:r>
              <w:rPr>
                <w:rFonts w:ascii="Aptos" w:hAnsi="Aptos"/>
                <w:b/>
                <w:color w:val="17365D"/>
                <w:sz w:val="17"/>
              </w:rPr>
              <w:t>5</w:t>
            </w:r>
          </w:p>
        </w:tc>
        <w:tc>
          <w:tcPr>
            <w:tcW w:type="dxa" w:w="4800"/>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r/>
            <w:r>
              <w:rPr>
                <w:rFonts w:ascii="Aptos" w:hAnsi="Aptos"/>
                <w:b/>
                <w:color w:val="000000"/>
                <w:sz w:val="17"/>
              </w:rPr>
              <w:t>DEFERRABLE</w:t>
            </w:r>
          </w:p>
        </w:tc>
        <w:tc>
          <w:tcPr>
            <w:tcW w:type="dxa" w:w="4800"/>
            <w:vAlign w:val="center"/>
            <w:tcMar>
              <w:top w:w="80" w:type="dxa"/>
              <w:start w:w="90" w:type="dxa"/>
              <w:bottom w:w="80" w:type="dxa"/>
              <w:end w:w="90" w:type="dxa"/>
            </w:tcMar>
            <w:tcBorders>
              <w:top w:val="single" w:sz="6" w:color="B7C6D4"/>
              <w:left w:val="single" w:sz="6" w:color="B7C6D4"/>
              <w:bottom w:val="single" w:sz="6" w:color="B7C6D4"/>
              <w:right w:val="single" w:sz="6" w:color="B7C6D4"/>
              <w:insideH w:val="single" w:sz="6" w:color="B7C6D4"/>
              <w:insideV w:val="single" w:sz="6" w:color="B7C6D4"/>
            </w:tcBorders>
          </w:tcPr>
          <w:p>
            <w:r/>
            <w:r>
              <w:rPr>
                <w:rFonts w:ascii="Aptos" w:hAnsi="Aptos"/>
                <w:b w:val="0"/>
                <w:color w:val="000000"/>
                <w:sz w:val="17"/>
              </w:rPr>
              <w:t>Can wait until normal operations have substantially resumed.</w:t>
            </w:r>
          </w:p>
        </w:tc>
      </w:tr>
    </w:tbl>
    <w:p>
      <w:pPr>
        <w:pStyle w:val="Heading1"/>
        <w:spacing w:before="120"/>
      </w:pPr>
      <w:r>
        <w:t>Our Top Recovery Priorities</w:t>
      </w:r>
    </w:p>
    <w:tbl>
      <w:tblPr>
        <w:tblW w:type="auto" w:w="0"/>
        <w:jc w:val="center"/>
        <w:tblLayout w:type="fixed"/>
        <w:tblLook w:firstColumn="1" w:firstRow="1" w:lastColumn="0" w:lastRow="0" w:noHBand="0" w:noVBand="1" w:val="04A0"/>
      </w:tblPr>
      <w:tblGrid>
        <w:gridCol w:w="4536"/>
        <w:gridCol w:w="4536"/>
        <w:gridCol w:w="4536"/>
      </w:tblGrid>
      <w:tr>
        <w:tc>
          <w:tcPr>
            <w:tcW w:type="dxa" w:w="4800"/>
            <w:shd w:fill="F3F6F9"/>
            <w:tcMar>
              <w:top w:w="120" w:type="dxa"/>
              <w:start w:w="120" w:type="dxa"/>
              <w:bottom w:w="120" w:type="dxa"/>
              <w:end w:w="120" w:type="dxa"/>
            </w:tcMar>
            <w:tcBorders>
              <w:top w:val="single" w:sz="6" w:color="B7C6D4"/>
              <w:left w:val="single" w:sz="6" w:color="B7C6D4"/>
              <w:bottom w:val="single" w:sz="6" w:color="B7C6D4"/>
              <w:right w:val="single" w:sz="6" w:color="B7C6D4"/>
              <w:insideH w:val="single" w:sz="6" w:color="B7C6D4"/>
              <w:insideV w:val="single" w:sz="6" w:color="B7C6D4"/>
            </w:tcBorders>
          </w:tcPr>
          <w:p>
            <w:r>
              <w:rPr>
                <w:b/>
                <w:color w:val="17365D"/>
                <w:sz w:val="18"/>
              </w:rPr>
              <w:t>Priority 1</w:t>
            </w:r>
          </w:p>
          <w:p>
            <w:r>
              <w:rPr>
                <w:b/>
                <w:sz w:val="17"/>
              </w:rPr>
              <w:t>Function:</w:t>
            </w:r>
            <w:r>
              <w:rPr>
                <w:sz w:val="17"/>
              </w:rPr>
              <w:br/>
            </w:r>
          </w:p>
          <w:p>
            <w:r>
              <w:rPr>
                <w:b/>
                <w:sz w:val="17"/>
              </w:rPr>
              <w:t>Target Recovery Time:</w:t>
            </w:r>
            <w:r>
              <w:rPr>
                <w:sz w:val="17"/>
              </w:rPr>
              <w:br/>
            </w:r>
          </w:p>
          <w:p>
            <w:r>
              <w:rPr>
                <w:b/>
                <w:sz w:val="17"/>
              </w:rPr>
              <w:t>Why it must be restored quickly:</w:t>
            </w:r>
            <w:r>
              <w:rPr>
                <w:sz w:val="17"/>
              </w:rPr>
              <w:br/>
            </w:r>
          </w:p>
        </w:tc>
        <w:tc>
          <w:tcPr>
            <w:tcW w:type="dxa" w:w="4800"/>
            <w:shd w:fill="F3F6F9"/>
            <w:tcMar>
              <w:top w:w="120" w:type="dxa"/>
              <w:start w:w="120" w:type="dxa"/>
              <w:bottom w:w="120" w:type="dxa"/>
              <w:end w:w="120" w:type="dxa"/>
            </w:tcMar>
            <w:tcBorders>
              <w:top w:val="single" w:sz="6" w:color="B7C6D4"/>
              <w:left w:val="single" w:sz="6" w:color="B7C6D4"/>
              <w:bottom w:val="single" w:sz="6" w:color="B7C6D4"/>
              <w:right w:val="single" w:sz="6" w:color="B7C6D4"/>
              <w:insideH w:val="single" w:sz="6" w:color="B7C6D4"/>
              <w:insideV w:val="single" w:sz="6" w:color="B7C6D4"/>
            </w:tcBorders>
          </w:tcPr>
          <w:p>
            <w:r>
              <w:rPr>
                <w:b/>
                <w:color w:val="17365D"/>
                <w:sz w:val="18"/>
              </w:rPr>
              <w:t>Priority 2</w:t>
            </w:r>
          </w:p>
          <w:p>
            <w:r>
              <w:rPr>
                <w:b/>
                <w:sz w:val="17"/>
              </w:rPr>
              <w:t>Function:</w:t>
            </w:r>
            <w:r>
              <w:rPr>
                <w:sz w:val="17"/>
              </w:rPr>
              <w:br/>
            </w:r>
          </w:p>
          <w:p>
            <w:r>
              <w:rPr>
                <w:b/>
                <w:sz w:val="17"/>
              </w:rPr>
              <w:t>Target Recovery Time:</w:t>
            </w:r>
            <w:r>
              <w:rPr>
                <w:sz w:val="17"/>
              </w:rPr>
              <w:br/>
            </w:r>
          </w:p>
          <w:p>
            <w:r>
              <w:rPr>
                <w:b/>
                <w:sz w:val="17"/>
              </w:rPr>
              <w:t>Why it must be restored quickly:</w:t>
            </w:r>
            <w:r>
              <w:rPr>
                <w:sz w:val="17"/>
              </w:rPr>
              <w:br/>
            </w:r>
          </w:p>
        </w:tc>
        <w:tc>
          <w:tcPr>
            <w:tcW w:type="dxa" w:w="4800"/>
            <w:shd w:fill="F3F6F9"/>
            <w:tcMar>
              <w:top w:w="120" w:type="dxa"/>
              <w:start w:w="120" w:type="dxa"/>
              <w:bottom w:w="120" w:type="dxa"/>
              <w:end w:w="120" w:type="dxa"/>
            </w:tcMar>
            <w:tcBorders>
              <w:top w:val="single" w:sz="6" w:color="B7C6D4"/>
              <w:left w:val="single" w:sz="6" w:color="B7C6D4"/>
              <w:bottom w:val="single" w:sz="6" w:color="B7C6D4"/>
              <w:right w:val="single" w:sz="6" w:color="B7C6D4"/>
              <w:insideH w:val="single" w:sz="6" w:color="B7C6D4"/>
              <w:insideV w:val="single" w:sz="6" w:color="B7C6D4"/>
            </w:tcBorders>
          </w:tcPr>
          <w:p>
            <w:r>
              <w:rPr>
                <w:b/>
                <w:color w:val="17365D"/>
                <w:sz w:val="18"/>
              </w:rPr>
              <w:t>Priority 3</w:t>
            </w:r>
          </w:p>
          <w:p>
            <w:r>
              <w:rPr>
                <w:b/>
                <w:sz w:val="17"/>
              </w:rPr>
              <w:t>Function:</w:t>
            </w:r>
            <w:r>
              <w:rPr>
                <w:sz w:val="17"/>
              </w:rPr>
              <w:br/>
            </w:r>
          </w:p>
          <w:p>
            <w:r>
              <w:rPr>
                <w:b/>
                <w:sz w:val="17"/>
              </w:rPr>
              <w:t>Target Recovery Time:</w:t>
            </w:r>
            <w:r>
              <w:rPr>
                <w:sz w:val="17"/>
              </w:rPr>
              <w:br/>
            </w:r>
          </w:p>
          <w:p>
            <w:r>
              <w:rPr>
                <w:b/>
                <w:sz w:val="17"/>
              </w:rPr>
              <w:t>Why it must be restored quickly:</w:t>
            </w:r>
            <w:r>
              <w:rPr>
                <w:sz w:val="17"/>
              </w:rPr>
              <w:br/>
            </w:r>
          </w:p>
        </w:tc>
      </w:tr>
    </w:tbl>
    <w:p>
      <w:pPr>
        <w:pStyle w:val="Heading1"/>
        <w:spacing w:before="120"/>
      </w:pPr>
      <w:r>
        <w:t>Recovery Time Gap Check</w:t>
      </w:r>
    </w:p>
    <w:p>
      <w:pPr>
        <w:spacing w:after="60"/>
      </w:pPr>
      <w:r>
        <w:rPr>
          <w:sz w:val="18"/>
        </w:rPr>
        <w:t>Compare the Target Recovery Time with the Maximum Acceptable Downtime for each critical function.</w:t>
      </w:r>
    </w:p>
    <w:tbl>
      <w:tblPr>
        <w:tblW w:type="auto" w:w="0"/>
        <w:jc w:val="center"/>
        <w:tblLayout w:type="fixed"/>
        <w:tblLook w:firstColumn="1" w:firstRow="1" w:lastColumn="0" w:lastRow="0" w:noHBand="0" w:noVBand="1" w:val="04A0"/>
      </w:tblPr>
      <w:tblGrid>
        <w:gridCol w:w="13824"/>
      </w:tblGrid>
      <w:tr>
        <w:tc>
          <w:tcPr>
            <w:tcW w:type="dxa" w:w="14400"/>
            <w:shd w:fill="D9EAF7"/>
            <w:tcMar>
              <w:top w:w="100" w:type="dxa"/>
              <w:start w:w="130" w:type="dxa"/>
              <w:bottom w:w="100" w:type="dxa"/>
              <w:end w:w="130" w:type="dxa"/>
            </w:tcMar>
          </w:tcPr>
          <w:p>
            <w:r>
              <w:rPr>
                <w:b/>
                <w:color w:val="17365D"/>
                <w:sz w:val="19"/>
              </w:rPr>
              <w:t>Continuity gap to address</w:t>
            </w:r>
          </w:p>
          <w:p>
            <w:pPr>
              <w:spacing w:after="0"/>
            </w:pPr>
            <w:r>
              <w:rPr>
                <w:sz w:val="18"/>
              </w:rPr>
              <w:t>If your Target Recovery Time is later than your Maximum Acceptable Downtime, the business is currently planning to recover too slowly. Identify what must change - resources, suppliers, staffing, technology, alternate arrangements or another continuity strategy - to close the gap.</w:t>
            </w:r>
          </w:p>
        </w:tc>
      </w:tr>
    </w:tbl>
    <w:p>
      <w:pPr>
        <w:spacing w:before="60" w:after="0"/>
      </w:pPr>
      <w:r>
        <w:rPr>
          <w:i/>
          <w:sz w:val="17"/>
        </w:rPr>
        <w:t>Next: examine dependencies and single points of failure, then develop continuity strategies for any recovery-time gaps identified. For the complete planning process, see the DRM Authority Business Continuity Planning Workbook, Section 2: Critical Functions &amp; Business Impact Analysis.</w:t>
      </w:r>
    </w:p>
    <w:p>
      <w:r>
        <w:br w:type="page"/>
      </w:r>
    </w:p>
    <w:p>
      <w:pPr>
        <w:spacing w:before="0" w:after="40"/>
      </w:pPr>
      <w:r>
        <w:rPr>
          <w:rFonts w:ascii="Arial" w:hAnsi="Arial" w:eastAsia="Arial"/>
          <w:b/>
          <w:i w:val="0"/>
          <w:color w:val="0893B5"/>
          <w:sz w:val="16"/>
        </w:rPr>
        <w:t>BUSINESS RESILIENCE STARTER KIT</w:t>
      </w:r>
    </w:p>
    <w:p>
      <w:pPr>
        <w:spacing w:before="0" w:after="80"/>
      </w:pPr>
      <w:r>
        <w:rPr>
          <w:rFonts w:ascii="Arial" w:hAnsi="Arial" w:eastAsia="Arial"/>
          <w:b/>
          <w:i w:val="0"/>
          <w:color w:val="08304A"/>
          <w:sz w:val="36"/>
        </w:rPr>
        <w:t>Use and Reproduction Notice</w:t>
      </w:r>
    </w:p>
    <w:p>
      <w:pPr>
        <w:spacing w:before="0" w:after="240"/>
      </w:pPr>
      <w:r>
        <w:rPr>
          <w:rFonts w:ascii="Arial" w:hAnsi="Arial" w:eastAsia="Arial"/>
          <w:b/>
          <w:i w:val="0"/>
          <w:color w:val="687682"/>
          <w:sz w:val="16"/>
        </w:rPr>
        <w:t>Version 1.0 | September 2026</w:t>
      </w:r>
    </w:p>
    <w:tbl>
      <w:tblPr>
        <w:tblW w:type="dxa" w:w="13104"/>
        <w:jc w:val="center"/>
        <w:tblLayout w:type="fixed"/>
        <w:tblLook w:firstColumn="1" w:firstRow="1" w:lastColumn="0" w:lastRow="0" w:noHBand="0" w:noVBand="1" w:val="04A0"/>
        <w:tblBorders>
          <w:top w:val="nil"/>
          <w:left w:val="nil"/>
          <w:bottom w:val="nil"/>
          <w:right w:val="nil"/>
          <w:insideH w:val="nil"/>
          <w:insideV w:val="nil"/>
        </w:tblBorders>
      </w:tblPr>
      <w:tblGrid>
        <w:gridCol w:w="14400"/>
      </w:tblGrid>
      <w:tr>
        <w:tc>
          <w:tcPr>
            <w:tcW w:type="dxa" w:w="13104"/>
            <w:tcMar>
              <w:top w:w="160" w:type="dxa"/>
              <w:start w:w="180" w:type="dxa"/>
              <w:bottom w:w="160" w:type="dxa"/>
              <w:end w:w="180" w:type="dxa"/>
            </w:tcMar>
            <w:shd w:fill="EAF4F7"/>
          </w:tcPr>
          <w:p>
            <w:pPr>
              <w:spacing w:before="0" w:after="160" w:line="252" w:lineRule="auto"/>
            </w:pPr>
            <w:r>
              <w:rPr>
                <w:rFonts w:ascii="Arial" w:hAnsi="Arial" w:eastAsia="Arial"/>
                <w:b w:val="0"/>
                <w:i w:val="0"/>
                <w:color w:val="08304A"/>
                <w:sz w:val="19"/>
              </w:rPr>
              <w:t>This tool has been developed by the Disaster Risk Management Authority (DRM Authority) of The Bahamas as part of its Business Resilience Programme and is provided to support practical business continuity and resilience planning.</w:t>
            </w:r>
          </w:p>
          <w:p>
            <w:pPr>
              <w:spacing w:before="0" w:after="160" w:line="252" w:lineRule="auto"/>
            </w:pPr>
            <w:r>
              <w:rPr>
                <w:rFonts w:ascii="Arial" w:hAnsi="Arial" w:eastAsia="Arial"/>
                <w:b w:val="0"/>
                <w:i w:val="0"/>
                <w:color w:val="08304A"/>
                <w:sz w:val="19"/>
              </w:rPr>
              <w:t>Businesses and organizations may reproduce and adapt this tool for their own internal business continuity and resilience planning, provided that attribution to the DRM Authority and any applicable third-party acknowledgements are retained.</w:t>
            </w:r>
          </w:p>
          <w:p>
            <w:pPr>
              <w:spacing w:before="0" w:after="160" w:line="252" w:lineRule="auto"/>
            </w:pPr>
            <w:r>
              <w:rPr>
                <w:rFonts w:ascii="Arial" w:hAnsi="Arial" w:eastAsia="Arial"/>
                <w:b w:val="0"/>
                <w:i w:val="0"/>
                <w:color w:val="08304A"/>
                <w:sz w:val="19"/>
              </w:rPr>
              <w:t>This tool, its templates, or any substantial portion of them may not be sold, rebranded, republished, incorporated into a commercial product, or used to deliver paid training, facilitation, consultancy or other commercial services without the prior written permission of the DRM Authority.</w:t>
            </w:r>
          </w:p>
          <w:p>
            <w:pPr>
              <w:spacing w:before="0" w:after="160" w:line="252" w:lineRule="auto"/>
            </w:pPr>
            <w:r>
              <w:rPr>
                <w:rFonts w:ascii="Arial" w:hAnsi="Arial" w:eastAsia="Arial"/>
                <w:b w:val="0"/>
                <w:i w:val="0"/>
                <w:color w:val="08304A"/>
                <w:sz w:val="19"/>
              </w:rPr>
              <w:t>Use of this material does not imply endorsement, accreditation or certification by the DRM Authority. Third-party material, where identified, remains subject to the rights and terms of its respective owner.</w:t>
            </w:r>
          </w:p>
        </w:tc>
      </w:tr>
    </w:tbl>
    <w:tbl>
      <w:tblPr>
        <w:tblW w:type="dxa" w:w="13104"/>
        <w:jc w:val="center"/>
        <w:tblLayout w:type="fixed"/>
        <w:tblLook w:firstColumn="1" w:firstRow="1" w:lastColumn="0" w:lastRow="0" w:noHBand="0" w:noVBand="1" w:val="04A0"/>
        <w:tblBorders>
          <w:top w:val="nil"/>
          <w:left w:val="nil"/>
          <w:bottom w:val="nil"/>
          <w:right w:val="nil"/>
          <w:insideH w:val="nil"/>
          <w:insideV w:val="nil"/>
        </w:tblBorders>
      </w:tblPr>
      <w:tblGrid>
        <w:gridCol w:w="14400"/>
      </w:tblGrid>
      <w:tr>
        <w:tc>
          <w:tcPr>
            <w:tcW w:type="dxa" w:w="13104"/>
            <w:tcMar>
              <w:top w:w="100" w:type="dxa"/>
              <w:start w:w="160" w:type="dxa"/>
              <w:bottom w:w="100" w:type="dxa"/>
              <w:end w:w="160" w:type="dxa"/>
            </w:tcMar>
            <w:shd w:fill="F8EAB8"/>
          </w:tcPr>
          <w:p>
            <w:pPr>
              <w:spacing w:before="0" w:after="0"/>
              <w:jc w:val="center"/>
            </w:pPr>
            <w:r>
              <w:rPr>
                <w:rFonts w:ascii="Arial" w:hAnsi="Arial" w:eastAsia="Arial"/>
                <w:b/>
                <w:i w:val="0"/>
                <w:color w:val="08304A"/>
                <w:sz w:val="19"/>
              </w:rPr>
              <w:t>Internal adaptation is permitted. Commercial reuse requires prior written permission.</w:t>
            </w:r>
          </w:p>
        </w:tc>
      </w:tr>
    </w:tbl>
    <w:sectPr w:rsidR="00FC693F" w:rsidRPr="0006063C" w:rsidSect="00034616">
      <w:footerReference w:type="default" r:id="rId9"/>
      <w:headerReference w:type="default" r:id="rId11"/>
      <w:headerReference w:type="first" r:id="rId12"/>
      <w:footerReference w:type="first" r:id="rId13"/>
      <w:pgSz w:w="15840" w:h="12240" w:orient="landscape"/>
      <w:pgMar w:top="648" w:right="720" w:bottom="648" w:left="720" w:header="43" w:footer="5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sdt>
    <w:sdtPr>
      <w:lock w:val="sdtContentLocked"/>
      <w:alias w:val="DRM Authority protected branding"/>
      <w:tag w:val="DRM_BRANDING_LOCK"/>
    </w:sdtPr>
    <w:sdtContent>
      <w:tbl>
        <w:tblPr>
          <w:tblW w:type="dxa" w:w="14327"/>
          <w:jc w:val="center"/>
          <w:tblLayout w:type="fixed"/>
          <w:tblLook w:firstColumn="1" w:firstRow="1" w:lastColumn="0" w:lastRow="0" w:noHBand="0" w:noVBand="1" w:val="04A0"/>
          <w:tblBorders>
            <w:top w:val="nil"/>
            <w:left w:val="nil"/>
            <w:bottom w:val="nil"/>
            <w:right w:val="nil"/>
            <w:insideH w:val="nil"/>
            <w:insideV w:val="nil"/>
          </w:tblBorders>
        </w:tblPr>
        <w:tblGrid>
          <w:gridCol w:w="4776"/>
          <w:gridCol w:w="4776"/>
          <w:gridCol w:w="4776"/>
        </w:tblGrid>
        <w:tr>
          <w:tc>
            <w:tcPr>
              <w:tcW w:type="dxa" w:w="5832"/>
              <w:tcMar>
                <w:top w:w="0" w:type="dxa"/>
                <w:start w:w="0" w:type="dxa"/>
                <w:bottom w:w="0" w:type="dxa"/>
                <w:end w:w="0" w:type="dxa"/>
              </w:tcMar>
              <w:vAlign w:val="center"/>
            </w:tcPr>
            <w:p>
              <w:pPr>
                <w:spacing w:before="0" w:after="0"/>
                <w:jc w:val="left"/>
              </w:pPr>
              <w:r>
                <w:rPr>
                  <w:rFonts w:ascii="Arial" w:hAnsi="Arial" w:eastAsia="Arial"/>
                  <w:b/>
                  <w:i w:val="0"/>
                  <w:color w:val="08304A"/>
                  <w:sz w:val="13"/>
                </w:rPr>
                <w:t>DRM Authority | Business Resilience Programme</w:t>
              </w:r>
            </w:p>
          </w:tc>
          <w:tc>
            <w:tcPr>
              <w:tcW w:type="dxa" w:w="3888"/>
              <w:tcMar>
                <w:top w:w="0" w:type="dxa"/>
                <w:start w:w="0" w:type="dxa"/>
                <w:bottom w:w="0" w:type="dxa"/>
                <w:end w:w="0" w:type="dxa"/>
              </w:tcMar>
              <w:vAlign w:val="center"/>
            </w:tcPr>
            <w:p>
              <w:pPr>
                <w:spacing w:before="0" w:after="0"/>
                <w:jc w:val="center"/>
              </w:pPr>
              <w:r>
                <w:rPr>
                  <w:rFonts w:ascii="Arial" w:hAnsi="Arial" w:eastAsia="Arial"/>
                  <w:b w:val="0"/>
                  <w:i w:val="0"/>
                  <w:color w:val="687682"/>
                  <w:sz w:val="13"/>
                </w:rPr>
                <w:t>Version 1.0 | September 2026</w:t>
              </w:r>
            </w:p>
          </w:tc>
          <w:tc>
            <w:tcPr>
              <w:tcW w:type="dxa" w:w="4608"/>
              <w:tcMar>
                <w:top w:w="0" w:type="dxa"/>
                <w:start w:w="0" w:type="dxa"/>
                <w:bottom w:w="0" w:type="dxa"/>
                <w:end w:w="0" w:type="dxa"/>
              </w:tcMar>
              <w:vAlign w:val="center"/>
            </w:tcPr>
            <w:p>
              <w:pPr>
                <w:spacing w:before="0" w:after="0"/>
                <w:jc w:val="right"/>
              </w:pPr>
              <w:r>
                <w:rPr>
                  <w:rFonts w:ascii="Arial" w:hAnsi="Arial" w:eastAsia="Arial"/>
                  <w:b w:val="0"/>
                  <w:i w:val="0"/>
                  <w:color w:val="08304A"/>
                  <w:sz w:val="13"/>
                </w:rPr>
                <w:t xml:space="preserve">Page </w:t>
              </w:r>
              <w:fldSimple w:instr="PAGE">
                <w:r>
                  <w:rPr>
                    <w:rFonts w:ascii="Arial" w:hAnsi="Arial"/>
                    <w:sz w:val="13"/>
                    <w:color w:val="08304A"/>
                  </w:rPr>
                  <w:t>1</w:t>
                </w:r>
              </w:fldSimple>
              <w:r>
                <w:rPr>
                  <w:rFonts w:ascii="Arial" w:hAnsi="Arial" w:eastAsia="Arial"/>
                  <w:b w:val="0"/>
                  <w:i w:val="0"/>
                  <w:color w:val="08304A"/>
                  <w:sz w:val="13"/>
                </w:rPr>
                <w:t xml:space="preserve"> of </w:t>
              </w:r>
              <w:fldSimple w:instr="NUMPAGES">
                <w:r>
                  <w:rPr>
                    <w:rFonts w:ascii="Arial" w:hAnsi="Arial"/>
                    <w:sz w:val="13"/>
                    <w:color w:val="08304A"/>
                  </w:rPr>
                  <w:t>1</w:t>
                </w:r>
              </w:fldSimple>
            </w:p>
          </w:tc>
        </w:tr>
        <w:tr>
          <w:tc>
            <w:tcPr>
              <w:tcW w:type="dxa" w:w="14328"/>
              <w:gridSpan w:val="3"/>
              <w:tcMar>
                <w:top w:w="0" w:type="dxa"/>
                <w:start w:w="0" w:type="dxa"/>
                <w:bottom w:w="0" w:type="dxa"/>
                <w:end w:w="0" w:type="dxa"/>
              </w:tcMar>
            </w:tcPr>
            <w:p>
              <w:pPr>
                <w:spacing w:before="0" w:after="0"/>
                <w:jc w:val="center"/>
              </w:pPr>
              <w:r>
                <w:rPr>
                  <w:rFonts w:ascii="Arial" w:hAnsi="Arial" w:eastAsia="Arial"/>
                  <w:b w:val="0"/>
                  <w:i w:val="0"/>
                  <w:color w:val="687682"/>
                  <w:sz w:val="12"/>
                </w:rPr>
                <w:t>For internal business continuity and resilience planning. Commercial use requires prior written permission.</w:t>
              </w:r>
            </w:p>
          </w:tc>
        </w:tr>
      </w:tbl>
    </w:sdtContent>
  </w:sdt>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sdt>
    <w:sdtPr>
      <w:lock w:val="sdtContentLocked"/>
      <w:alias w:val="DRM Authority protected branding"/>
      <w:tag w:val="DRM_BRANDING_LOCK"/>
    </w:sdtPr>
    <w:sdtContent>
      <w:tbl>
        <w:tblPr>
          <w:tblW w:type="dxa" w:w="14327"/>
          <w:jc w:val="center"/>
          <w:tblLayout w:type="fixed"/>
          <w:tblLook w:firstColumn="1" w:firstRow="1" w:lastColumn="0" w:lastRow="0" w:noHBand="0" w:noVBand="1" w:val="04A0"/>
          <w:tblBorders>
            <w:top w:val="nil"/>
            <w:left w:val="nil"/>
            <w:bottom w:val="nil"/>
            <w:right w:val="nil"/>
            <w:insideH w:val="nil"/>
            <w:insideV w:val="nil"/>
          </w:tblBorders>
        </w:tblPr>
        <w:tblGrid>
          <w:gridCol w:w="4776"/>
          <w:gridCol w:w="4776"/>
          <w:gridCol w:w="4776"/>
        </w:tblGrid>
        <w:tr>
          <w:tc>
            <w:tcPr>
              <w:tcW w:type="dxa" w:w="5832"/>
              <w:tcMar>
                <w:top w:w="0" w:type="dxa"/>
                <w:start w:w="0" w:type="dxa"/>
                <w:bottom w:w="0" w:type="dxa"/>
                <w:end w:w="0" w:type="dxa"/>
              </w:tcMar>
              <w:vAlign w:val="center"/>
            </w:tcPr>
            <w:p>
              <w:pPr>
                <w:spacing w:before="0" w:after="0"/>
                <w:jc w:val="left"/>
              </w:pPr>
              <w:r>
                <w:rPr>
                  <w:rFonts w:ascii="Arial" w:hAnsi="Arial" w:eastAsia="Arial"/>
                  <w:b/>
                  <w:i w:val="0"/>
                  <w:color w:val="08304A"/>
                  <w:sz w:val="13"/>
                </w:rPr>
                <w:t>DRM Authority | Business Resilience Programme</w:t>
              </w:r>
            </w:p>
          </w:tc>
          <w:tc>
            <w:tcPr>
              <w:tcW w:type="dxa" w:w="3888"/>
              <w:tcMar>
                <w:top w:w="0" w:type="dxa"/>
                <w:start w:w="0" w:type="dxa"/>
                <w:bottom w:w="0" w:type="dxa"/>
                <w:end w:w="0" w:type="dxa"/>
              </w:tcMar>
              <w:vAlign w:val="center"/>
            </w:tcPr>
            <w:p>
              <w:pPr>
                <w:spacing w:before="0" w:after="0"/>
                <w:jc w:val="center"/>
              </w:pPr>
              <w:r>
                <w:rPr>
                  <w:rFonts w:ascii="Arial" w:hAnsi="Arial" w:eastAsia="Arial"/>
                  <w:b w:val="0"/>
                  <w:i w:val="0"/>
                  <w:color w:val="687682"/>
                  <w:sz w:val="13"/>
                </w:rPr>
                <w:t>Version 1.0 | September 2026</w:t>
              </w:r>
            </w:p>
          </w:tc>
          <w:tc>
            <w:tcPr>
              <w:tcW w:type="dxa" w:w="4608"/>
              <w:tcMar>
                <w:top w:w="0" w:type="dxa"/>
                <w:start w:w="0" w:type="dxa"/>
                <w:bottom w:w="0" w:type="dxa"/>
                <w:end w:w="0" w:type="dxa"/>
              </w:tcMar>
              <w:vAlign w:val="center"/>
            </w:tcPr>
            <w:p>
              <w:pPr>
                <w:spacing w:before="0" w:after="0"/>
                <w:jc w:val="right"/>
              </w:pPr>
              <w:r>
                <w:rPr>
                  <w:rFonts w:ascii="Arial" w:hAnsi="Arial" w:eastAsia="Arial"/>
                  <w:b w:val="0"/>
                  <w:i w:val="0"/>
                  <w:color w:val="08304A"/>
                  <w:sz w:val="13"/>
                </w:rPr>
                <w:t xml:space="preserve">Page </w:t>
              </w:r>
              <w:fldSimple w:instr="PAGE">
                <w:r>
                  <w:rPr>
                    <w:rFonts w:ascii="Arial" w:hAnsi="Arial"/>
                    <w:sz w:val="13"/>
                    <w:color w:val="08304A"/>
                  </w:rPr>
                  <w:t>1</w:t>
                </w:r>
              </w:fldSimple>
              <w:r>
                <w:rPr>
                  <w:rFonts w:ascii="Arial" w:hAnsi="Arial" w:eastAsia="Arial"/>
                  <w:b w:val="0"/>
                  <w:i w:val="0"/>
                  <w:color w:val="08304A"/>
                  <w:sz w:val="13"/>
                </w:rPr>
                <w:t xml:space="preserve"> of </w:t>
              </w:r>
              <w:fldSimple w:instr="NUMPAGES">
                <w:r>
                  <w:rPr>
                    <w:rFonts w:ascii="Arial" w:hAnsi="Arial"/>
                    <w:sz w:val="13"/>
                    <w:color w:val="08304A"/>
                  </w:rPr>
                  <w:t>1</w:t>
                </w:r>
              </w:fldSimple>
            </w:p>
          </w:tc>
        </w:tr>
        <w:tr>
          <w:tc>
            <w:tcPr>
              <w:tcW w:type="dxa" w:w="14328"/>
              <w:gridSpan w:val="3"/>
              <w:tcMar>
                <w:top w:w="0" w:type="dxa"/>
                <w:start w:w="0" w:type="dxa"/>
                <w:bottom w:w="0" w:type="dxa"/>
                <w:end w:w="0" w:type="dxa"/>
              </w:tcMar>
            </w:tcPr>
            <w:p>
              <w:pPr>
                <w:spacing w:before="0" w:after="0"/>
                <w:jc w:val="center"/>
              </w:pPr>
              <w:r>
                <w:rPr>
                  <w:rFonts w:ascii="Arial" w:hAnsi="Arial" w:eastAsia="Arial"/>
                  <w:b w:val="0"/>
                  <w:i w:val="0"/>
                  <w:color w:val="687682"/>
                  <w:sz w:val="12"/>
                </w:rPr>
                <w:t>For internal business continuity and resilience planning. Commercial use requires prior written permission.</w:t>
              </w:r>
            </w:p>
          </w:tc>
        </w:tr>
      </w:tbl>
    </w:sdtContent>
  </w:sdt>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sdt>
    <w:sdtPr>
      <w:lock w:val="sdtContentLocked"/>
      <w:alias w:val="DRM Authority protected branding"/>
      <w:tag w:val="DRM_BRANDING_LOCK"/>
    </w:sdtPr>
    <w:sdtContent>
      <w:tbl>
        <w:tblPr>
          <w:tblW w:type="dxa" w:w="14327"/>
          <w:jc w:val="center"/>
          <w:tblLayout w:type="fixed"/>
          <w:tblLook w:firstColumn="1" w:firstRow="1" w:lastColumn="0" w:lastRow="0" w:noHBand="0" w:noVBand="1" w:val="04A0"/>
          <w:tblBorders>
            <w:top w:val="nil"/>
            <w:left w:val="nil"/>
            <w:bottom w:val="nil"/>
            <w:right w:val="nil"/>
            <w:insideH w:val="nil"/>
            <w:insideV w:val="nil"/>
          </w:tblBorders>
        </w:tblPr>
        <w:tblGrid>
          <w:gridCol w:w="7164"/>
          <w:gridCol w:w="7164"/>
        </w:tblGrid>
        <w:tr>
          <w:tc>
            <w:tcPr>
              <w:tcW w:type="dxa" w:w="2951"/>
              <w:tcMar>
                <w:top w:w="0" w:type="dxa"/>
                <w:start w:w="0" w:type="dxa"/>
                <w:bottom w:w="0" w:type="dxa"/>
                <w:end w:w="40" w:type="dxa"/>
              </w:tcMar>
              <w:vAlign w:val="center"/>
            </w:tcPr>
            <w:p>
              <w:pPr>
                <w:spacing w:before="0" w:after="0"/>
                <w:jc w:val="left"/>
              </w:pPr>
              <w:r>
                <w:drawing>
                  <wp:inline xmlns:a="http://schemas.openxmlformats.org/drawingml/2006/main" xmlns:pic="http://schemas.openxmlformats.org/drawingml/2006/picture">
                    <wp:extent cx="1170432" cy="365760"/>
                    <wp:docPr id="1" name="Picture 1"/>
                    <wp:cNvGraphicFramePr>
                      <a:graphicFrameLocks noChangeAspect="1"/>
                    </wp:cNvGraphicFramePr>
                    <a:graphic>
                      <a:graphicData uri="http://schemas.openxmlformats.org/drawingml/2006/picture">
                        <pic:pic>
                          <pic:nvPicPr>
                            <pic:cNvPr id="0" name="A_DRMLogo-FULL.png"/>
                            <pic:cNvPicPr/>
                          </pic:nvPicPr>
                          <pic:blipFill>
                            <a:blip r:embed="rId1"/>
                            <a:stretch>
                              <a:fillRect/>
                            </a:stretch>
                          </pic:blipFill>
                          <pic:spPr>
                            <a:xfrm>
                              <a:off x="0" y="0"/>
                              <a:ext cx="1170432" cy="365760"/>
                            </a:xfrm>
                            <a:prstGeom prst="rect"/>
                          </pic:spPr>
                        </pic:pic>
                      </a:graphicData>
                    </a:graphic>
                  </wp:inline>
                </w:drawing>
              </w:r>
            </w:p>
          </w:tc>
          <w:tc>
            <w:tcPr>
              <w:tcW w:type="dxa" w:w="11376"/>
              <w:tcMar>
                <w:top w:w="0" w:type="dxa"/>
                <w:start w:w="40" w:type="dxa"/>
                <w:bottom w:w="0" w:type="dxa"/>
                <w:end w:w="0" w:type="dxa"/>
              </w:tcMar>
              <w:vAlign w:val="center"/>
            </w:tcPr>
            <w:p>
              <w:pPr>
                <w:spacing w:before="0" w:after="0"/>
                <w:jc w:val="right"/>
              </w:pPr>
              <w:r>
                <w:rPr>
                  <w:rFonts w:ascii="Arial" w:hAnsi="Arial" w:eastAsia="Arial"/>
                  <w:b/>
                  <w:i w:val="0"/>
                  <w:color w:val="08304A"/>
                  <w:sz w:val="15"/>
                </w:rPr>
                <w:t>Critical Functions &amp; BIA Tool</w:t>
              </w:r>
            </w:p>
          </w:tc>
        </w:tr>
      </w:tbl>
    </w:sdtContent>
  </w:sdt>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sdt>
    <w:sdtPr>
      <w:lock w:val="sdtContentLocked"/>
      <w:alias w:val="DRM Authority protected branding"/>
      <w:tag w:val="DRM_BRANDING_LOCK"/>
    </w:sdtPr>
    <w:sdtContent>
      <w:p/>
    </w:sdtContent>
  </w:sdt>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Critical Functions &amp; Business Impact Analysis Tool</dc:title>
  <dc:subject>DRM Authority Business Resilience Starter Kit</dc:subject>
  <dc:creator>Disaster Risk Management Authority, The Bahamas</dc:creator>
  <cp:keywords>business resilience, business continuity, disaster risk management, The Bahamas</cp:keywords>
  <dc:description>Version 1.0 | September 2026</dc:description>
  <cp:lastModifiedBy/>
  <cp:revision>1</cp:revision>
  <dcterms:created xsi:type="dcterms:W3CDTF">2013-12-23T23:15:00Z</dcterms:created>
  <dcterms:modified xsi:type="dcterms:W3CDTF">2013-12-23T23:15:00Z</dcterms:modified>
  <cp:category/>
</cp:coreProperties>
</file>